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E72D" w14:textId="77777777" w:rsidR="00EF1FFE" w:rsidRPr="00EF1FFE" w:rsidRDefault="00EF1FFE" w:rsidP="00EF1FFE">
      <w:pPr>
        <w:spacing w:after="0" w:line="240" w:lineRule="auto"/>
        <w:rPr>
          <w:rFonts w:ascii="Book Antiqua" w:hAnsi="Book Antiqua" w:cs="Times New Roman"/>
          <w:i/>
          <w:szCs w:val="20"/>
          <w:lang w:val="zh-CN"/>
        </w:rPr>
      </w:pPr>
      <w:r w:rsidRPr="00EF1FFE">
        <w:rPr>
          <w:rFonts w:ascii="Book Antiqua" w:hAnsi="Book Antiqua" w:cs="Times New Roman"/>
          <w:i/>
          <w:szCs w:val="20"/>
          <w:lang w:val="zh-CN"/>
        </w:rPr>
        <w:t>Eternal: English Teaching Journal</w:t>
      </w:r>
    </w:p>
    <w:p w14:paraId="66628030" w14:textId="58E061CA" w:rsidR="00EF1FFE" w:rsidRPr="00EF1FFE" w:rsidRDefault="00EF1FFE" w:rsidP="00EF1FFE">
      <w:pPr>
        <w:spacing w:after="0" w:line="240" w:lineRule="auto"/>
        <w:rPr>
          <w:rFonts w:ascii="Book Antiqua" w:hAnsi="Book Antiqua" w:cs="Times New Roman"/>
          <w:i/>
          <w:szCs w:val="20"/>
          <w:lang w:val="zh-CN"/>
        </w:rPr>
      </w:pPr>
      <w:r w:rsidRPr="00EF1FFE">
        <w:rPr>
          <w:rFonts w:ascii="Book Antiqua" w:hAnsi="Book Antiqua" w:cs="Times New Roman"/>
          <w:i/>
          <w:szCs w:val="20"/>
          <w:lang w:val="zh-CN"/>
        </w:rPr>
        <w:t xml:space="preserve">Vol. 15, No. 1, pp. </w:t>
      </w:r>
      <w:r w:rsidR="00204447">
        <w:rPr>
          <w:rFonts w:ascii="Book Antiqua" w:hAnsi="Book Antiqua" w:cs="Times New Roman"/>
          <w:i/>
          <w:szCs w:val="20"/>
          <w:lang w:val="id-ID"/>
        </w:rPr>
        <w:t>98</w:t>
      </w:r>
      <w:r w:rsidRPr="00EF1FFE">
        <w:rPr>
          <w:rFonts w:ascii="Book Antiqua" w:hAnsi="Book Antiqua" w:cs="Times New Roman"/>
          <w:i/>
          <w:szCs w:val="20"/>
          <w:lang w:val="zh-CN"/>
        </w:rPr>
        <w:t>-</w:t>
      </w:r>
      <w:r w:rsidR="00204447">
        <w:rPr>
          <w:rFonts w:ascii="Book Antiqua" w:hAnsi="Book Antiqua" w:cs="Times New Roman"/>
          <w:i/>
          <w:szCs w:val="20"/>
          <w:lang w:val="id-ID"/>
        </w:rPr>
        <w:t>105</w:t>
      </w:r>
      <w:r w:rsidRPr="00EF1FFE">
        <w:rPr>
          <w:rFonts w:ascii="Book Antiqua" w:hAnsi="Book Antiqua" w:cs="Times New Roman"/>
          <w:i/>
          <w:szCs w:val="20"/>
          <w:lang w:val="zh-CN"/>
        </w:rPr>
        <w:t>, February 2024</w:t>
      </w:r>
    </w:p>
    <w:p w14:paraId="6BDC9F48" w14:textId="340A4667" w:rsidR="00EF1FFE" w:rsidRPr="00EF1FFE" w:rsidRDefault="00204447" w:rsidP="00EF1FFE">
      <w:pPr>
        <w:spacing w:after="0" w:line="240" w:lineRule="auto"/>
        <w:rPr>
          <w:rFonts w:ascii="Book Antiqua" w:hAnsi="Book Antiqua" w:cs="Times New Roman"/>
          <w:i/>
          <w:szCs w:val="20"/>
          <w:lang w:val="zh-CN"/>
        </w:rPr>
      </w:pPr>
      <w:r>
        <w:rPr>
          <w:rFonts w:ascii="Book Antiqua" w:hAnsi="Book Antiqua" w:cs="Times New Roman"/>
          <w:i/>
          <w:szCs w:val="20"/>
          <w:lang w:val="zh-CN"/>
        </w:rPr>
        <w:fldChar w:fldCharType="begin"/>
      </w:r>
      <w:r>
        <w:rPr>
          <w:rFonts w:ascii="Book Antiqua" w:hAnsi="Book Antiqua" w:cs="Times New Roman"/>
          <w:i/>
          <w:szCs w:val="20"/>
          <w:lang w:val="zh-CN"/>
        </w:rPr>
        <w:instrText xml:space="preserve"> HYPERLINK "</w:instrText>
      </w:r>
      <w:r w:rsidRPr="00EF1FFE">
        <w:rPr>
          <w:rFonts w:ascii="Book Antiqua" w:hAnsi="Book Antiqua" w:cs="Times New Roman"/>
          <w:i/>
          <w:szCs w:val="20"/>
          <w:lang w:val="zh-CN"/>
        </w:rPr>
        <w:instrText>https://doi.org/10.26877/eternal.v15i1.3</w:instrText>
      </w:r>
      <w:r>
        <w:rPr>
          <w:rFonts w:ascii="Book Antiqua" w:hAnsi="Book Antiqua" w:cs="Times New Roman"/>
          <w:i/>
          <w:szCs w:val="20"/>
          <w:lang w:val="id-ID"/>
        </w:rPr>
        <w:instrText>50</w:instrText>
      </w:r>
      <w:r>
        <w:rPr>
          <w:rFonts w:ascii="Book Antiqua" w:hAnsi="Book Antiqua" w:cs="Times New Roman"/>
          <w:i/>
          <w:szCs w:val="20"/>
          <w:lang w:val="zh-CN"/>
        </w:rPr>
        <w:instrText xml:space="preserve">" </w:instrText>
      </w:r>
      <w:r>
        <w:rPr>
          <w:rFonts w:ascii="Book Antiqua" w:hAnsi="Book Antiqua" w:cs="Times New Roman"/>
          <w:i/>
          <w:szCs w:val="20"/>
          <w:lang w:val="zh-CN"/>
        </w:rPr>
        <w:fldChar w:fldCharType="separate"/>
      </w:r>
      <w:r w:rsidRPr="003A0B8C">
        <w:rPr>
          <w:rStyle w:val="Hyperlink"/>
          <w:rFonts w:ascii="Book Antiqua" w:hAnsi="Book Antiqua" w:cs="Times New Roman"/>
          <w:i/>
          <w:szCs w:val="20"/>
          <w:lang w:val="zh-CN"/>
        </w:rPr>
        <w:t>https://doi.org/10.26877/eternal.v15i1.3</w:t>
      </w:r>
      <w:r w:rsidRPr="003A0B8C">
        <w:rPr>
          <w:rStyle w:val="Hyperlink"/>
          <w:rFonts w:ascii="Book Antiqua" w:hAnsi="Book Antiqua" w:cs="Times New Roman"/>
          <w:i/>
          <w:szCs w:val="20"/>
          <w:lang w:val="id-ID"/>
        </w:rPr>
        <w:t>50</w:t>
      </w:r>
      <w:r>
        <w:rPr>
          <w:rFonts w:ascii="Book Antiqua" w:hAnsi="Book Antiqua" w:cs="Times New Roman"/>
          <w:i/>
          <w:szCs w:val="20"/>
          <w:lang w:val="zh-CN"/>
        </w:rPr>
        <w:fldChar w:fldCharType="end"/>
      </w:r>
      <w:r>
        <w:rPr>
          <w:rFonts w:ascii="Book Antiqua" w:hAnsi="Book Antiqua" w:cs="Times New Roman"/>
          <w:i/>
          <w:szCs w:val="20"/>
          <w:lang w:val="id-ID"/>
        </w:rPr>
        <w:t xml:space="preserve"> </w:t>
      </w:r>
      <w:r w:rsidR="00EF1FFE" w:rsidRPr="00EF1FFE">
        <w:rPr>
          <w:rFonts w:ascii="Book Antiqua" w:hAnsi="Book Antiqua" w:cs="Times New Roman"/>
          <w:i/>
          <w:szCs w:val="20"/>
          <w:lang w:val="zh-CN"/>
        </w:rPr>
        <w:t xml:space="preserve">       </w:t>
      </w:r>
    </w:p>
    <w:p w14:paraId="487C756B" w14:textId="53A55A2D" w:rsidR="002D6064" w:rsidRDefault="00EF1FFE" w:rsidP="00EF1FFE">
      <w:pPr>
        <w:spacing w:after="0" w:line="240" w:lineRule="auto"/>
        <w:rPr>
          <w:rFonts w:ascii="Book Antiqua" w:hAnsi="Book Antiqua"/>
        </w:rPr>
      </w:pPr>
      <w:r w:rsidRPr="00EF1FFE">
        <w:rPr>
          <w:rFonts w:ascii="Book Antiqua" w:hAnsi="Book Antiqua" w:cs="Times New Roman"/>
          <w:i/>
          <w:szCs w:val="20"/>
          <w:lang w:val="zh-CN"/>
        </w:rPr>
        <w:t xml:space="preserve">Received January </w:t>
      </w:r>
      <w:r w:rsidR="00204447">
        <w:rPr>
          <w:rFonts w:ascii="Book Antiqua" w:hAnsi="Book Antiqua" w:cs="Times New Roman"/>
          <w:i/>
          <w:szCs w:val="20"/>
          <w:lang w:val="id-ID"/>
        </w:rPr>
        <w:t>14</w:t>
      </w:r>
      <w:r w:rsidRPr="00EF1FFE">
        <w:rPr>
          <w:rFonts w:ascii="Book Antiqua" w:hAnsi="Book Antiqua" w:cs="Times New Roman"/>
          <w:i/>
          <w:szCs w:val="20"/>
          <w:lang w:val="zh-CN"/>
        </w:rPr>
        <w:t xml:space="preserve">, 2024; Revised </w:t>
      </w:r>
      <w:r w:rsidR="00204447">
        <w:rPr>
          <w:rFonts w:ascii="Book Antiqua" w:hAnsi="Book Antiqua" w:cs="Times New Roman"/>
          <w:i/>
          <w:szCs w:val="20"/>
          <w:lang w:val="id-ID"/>
        </w:rPr>
        <w:t>February</w:t>
      </w:r>
      <w:r w:rsidRPr="00EF1FFE">
        <w:rPr>
          <w:rFonts w:ascii="Book Antiqua" w:hAnsi="Book Antiqua" w:cs="Times New Roman"/>
          <w:i/>
          <w:szCs w:val="20"/>
          <w:lang w:val="zh-CN"/>
        </w:rPr>
        <w:t xml:space="preserve"> </w:t>
      </w:r>
      <w:r w:rsidR="00204447">
        <w:rPr>
          <w:rFonts w:ascii="Book Antiqua" w:hAnsi="Book Antiqua" w:cs="Times New Roman"/>
          <w:i/>
          <w:szCs w:val="20"/>
          <w:lang w:val="id-ID"/>
        </w:rPr>
        <w:t>7</w:t>
      </w:r>
      <w:r w:rsidRPr="00EF1FFE">
        <w:rPr>
          <w:rFonts w:ascii="Book Antiqua" w:hAnsi="Book Antiqua" w:cs="Times New Roman"/>
          <w:i/>
          <w:szCs w:val="20"/>
          <w:lang w:val="zh-CN"/>
        </w:rPr>
        <w:t>, 2024; Accepted February</w:t>
      </w:r>
      <w:r w:rsidR="00204447">
        <w:rPr>
          <w:rFonts w:ascii="Book Antiqua" w:hAnsi="Book Antiqua" w:cs="Times New Roman"/>
          <w:i/>
          <w:szCs w:val="20"/>
          <w:lang w:val="id-ID"/>
        </w:rPr>
        <w:t xml:space="preserve"> 11</w:t>
      </w:r>
      <w:r w:rsidRPr="00EF1FFE">
        <w:rPr>
          <w:rFonts w:ascii="Book Antiqua" w:hAnsi="Book Antiqua" w:cs="Times New Roman"/>
          <w:i/>
          <w:szCs w:val="20"/>
          <w:lang w:val="zh-CN"/>
        </w:rPr>
        <w:t>, 2024</w:t>
      </w:r>
    </w:p>
    <w:p w14:paraId="69B15971" w14:textId="77777777" w:rsidR="002D6064" w:rsidRDefault="002D6064">
      <w:pPr>
        <w:spacing w:after="0" w:line="240" w:lineRule="auto"/>
        <w:rPr>
          <w:rFonts w:ascii="Book Antiqua" w:hAnsi="Book Antiqua"/>
        </w:rPr>
      </w:pPr>
    </w:p>
    <w:p w14:paraId="53C14081" w14:textId="77777777" w:rsidR="002D6064" w:rsidRDefault="00B17D25">
      <w:pPr>
        <w:pStyle w:val="Heading1"/>
        <w:spacing w:before="0" w:line="240" w:lineRule="auto"/>
        <w:jc w:val="center"/>
        <w:rPr>
          <w:rFonts w:ascii="Book Antiqua" w:hAnsi="Book Antiqua" w:cs="Times New Roman"/>
          <w:b w:val="0"/>
          <w:color w:val="auto"/>
          <w:sz w:val="36"/>
          <w:szCs w:val="48"/>
        </w:rPr>
      </w:pPr>
      <w:r>
        <w:rPr>
          <w:rFonts w:ascii="Book Antiqua" w:hAnsi="Book Antiqua" w:cs="Times New Roman"/>
          <w:b w:val="0"/>
          <w:color w:val="auto"/>
          <w:sz w:val="36"/>
          <w:szCs w:val="48"/>
        </w:rPr>
        <w:t>The Effect of Personality and Learning Motivation on Students’ English Reading Skills</w:t>
      </w:r>
    </w:p>
    <w:p w14:paraId="37D489C1" w14:textId="77777777" w:rsidR="002D6064" w:rsidRDefault="002D6064">
      <w:pPr>
        <w:spacing w:after="0" w:line="240" w:lineRule="auto"/>
        <w:jc w:val="both"/>
        <w:rPr>
          <w:rFonts w:ascii="Book Antiqua" w:hAnsi="Book Antiqua" w:cs="Times New Roman"/>
        </w:rPr>
      </w:pPr>
    </w:p>
    <w:p w14:paraId="1021D4AD" w14:textId="77777777" w:rsidR="007449F9" w:rsidRDefault="007449F9" w:rsidP="007449F9">
      <w:pPr>
        <w:spacing w:after="0" w:line="240" w:lineRule="auto"/>
        <w:jc w:val="center"/>
        <w:rPr>
          <w:rFonts w:ascii="Book Antiqua" w:hAnsi="Book Antiqua" w:cs="Times New Roman"/>
          <w:b/>
        </w:rPr>
      </w:pPr>
      <w:r>
        <w:rPr>
          <w:rFonts w:ascii="Book Antiqua" w:hAnsi="Book Antiqua" w:cs="Times New Roman"/>
          <w:b/>
          <w:vertAlign w:val="superscript"/>
        </w:rPr>
        <w:t>*1</w:t>
      </w:r>
      <w:r>
        <w:rPr>
          <w:rFonts w:ascii="Book Antiqua" w:hAnsi="Book Antiqua" w:cs="Times New Roman"/>
          <w:b/>
          <w:lang w:val="id-ID"/>
        </w:rPr>
        <w:t>Dela Safitri</w:t>
      </w:r>
    </w:p>
    <w:p w14:paraId="29E06BB2" w14:textId="77777777" w:rsidR="007449F9" w:rsidRDefault="007449F9" w:rsidP="007449F9">
      <w:pPr>
        <w:spacing w:after="0" w:line="240" w:lineRule="auto"/>
        <w:jc w:val="center"/>
        <w:rPr>
          <w:rFonts w:ascii="Book Antiqua" w:hAnsi="Book Antiqua" w:cs="Times New Roman"/>
          <w:b/>
        </w:rPr>
      </w:pPr>
      <w:r>
        <w:rPr>
          <w:rFonts w:ascii="Book Antiqua" w:hAnsi="Book Antiqua" w:cs="Times New Roman"/>
          <w:b/>
        </w:rPr>
        <w:t xml:space="preserve"> </w:t>
      </w:r>
      <w:r>
        <w:rPr>
          <w:rFonts w:ascii="Book Antiqua" w:hAnsi="Book Antiqua" w:cs="Times New Roman"/>
          <w:b/>
          <w:vertAlign w:val="superscript"/>
        </w:rPr>
        <w:t>2</w:t>
      </w:r>
      <w:r>
        <w:rPr>
          <w:rFonts w:ascii="Book Antiqua" w:hAnsi="Book Antiqua" w:cs="Times New Roman"/>
          <w:b/>
          <w:lang w:val="id-ID"/>
        </w:rPr>
        <w:t>Suryadi</w:t>
      </w:r>
      <w:r>
        <w:rPr>
          <w:rFonts w:ascii="Book Antiqua" w:hAnsi="Book Antiqua" w:cs="Times New Roman"/>
          <w:b/>
        </w:rPr>
        <w:t xml:space="preserve"> </w:t>
      </w:r>
    </w:p>
    <w:p w14:paraId="109DE2F1" w14:textId="38C1EC17" w:rsidR="007449F9" w:rsidRDefault="007449F9" w:rsidP="007449F9">
      <w:pPr>
        <w:spacing w:after="0" w:line="240" w:lineRule="auto"/>
        <w:jc w:val="center"/>
        <w:rPr>
          <w:rFonts w:ascii="Book Antiqua" w:hAnsi="Book Antiqua" w:cs="Times New Roman"/>
          <w:lang w:val="id-ID"/>
        </w:rPr>
      </w:pPr>
      <w:r>
        <w:rPr>
          <w:rFonts w:ascii="Book Antiqua" w:hAnsi="Book Antiqua" w:cs="Times New Roman"/>
          <w:b/>
          <w:vertAlign w:val="superscript"/>
        </w:rPr>
        <w:t>1,2</w:t>
      </w:r>
      <w:r>
        <w:rPr>
          <w:rFonts w:ascii="Book Antiqua" w:hAnsi="Book Antiqua" w:cs="Times New Roman"/>
          <w:lang w:val="id-ID"/>
        </w:rPr>
        <w:t>STKIP Situs Banten</w:t>
      </w:r>
    </w:p>
    <w:p w14:paraId="1418033B" w14:textId="77777777" w:rsidR="007449F9" w:rsidRDefault="007449F9" w:rsidP="007449F9">
      <w:pPr>
        <w:spacing w:after="0" w:line="240" w:lineRule="auto"/>
        <w:jc w:val="center"/>
        <w:rPr>
          <w:rFonts w:ascii="Book Antiqua" w:hAnsi="Book Antiqua" w:cs="Times New Roman"/>
          <w:lang w:val="zh-CN"/>
        </w:rPr>
      </w:pPr>
      <w:r>
        <w:rPr>
          <w:rFonts w:ascii="Book Antiqua" w:hAnsi="Book Antiqua" w:cs="Times New Roman"/>
          <w:lang w:val="id-ID"/>
        </w:rPr>
        <w:t>Serang</w:t>
      </w:r>
      <w:r>
        <w:rPr>
          <w:rFonts w:ascii="Book Antiqua" w:hAnsi="Book Antiqua" w:cs="Times New Roman"/>
        </w:rPr>
        <w:t xml:space="preserve">, </w:t>
      </w:r>
      <w:r>
        <w:rPr>
          <w:rFonts w:ascii="Book Antiqua" w:hAnsi="Book Antiqua" w:cs="Times New Roman"/>
          <w:lang w:val="zh-CN"/>
        </w:rPr>
        <w:t>Indonesia</w:t>
      </w:r>
    </w:p>
    <w:bookmarkStart w:id="0" w:name="_Hlk158905647"/>
    <w:p w14:paraId="64D18671" w14:textId="6EE743AD" w:rsidR="002D6064" w:rsidRPr="001F7E08" w:rsidRDefault="00204447" w:rsidP="007449F9">
      <w:pPr>
        <w:spacing w:after="0" w:line="240" w:lineRule="auto"/>
        <w:jc w:val="center"/>
        <w:rPr>
          <w:rStyle w:val="Hyperlink"/>
          <w:rFonts w:ascii="Times New Roman" w:hAnsi="Times New Roman" w:cs="Times New Roman"/>
          <w:bCs/>
          <w:color w:val="auto"/>
          <w:sz w:val="24"/>
          <w:szCs w:val="24"/>
          <w:u w:val="none"/>
        </w:rPr>
      </w:pPr>
      <w:r>
        <w:fldChar w:fldCharType="begin"/>
      </w:r>
      <w:r>
        <w:instrText xml:space="preserve"> HYPERLINK "mailto:delasafitri841@gmail.com" </w:instrText>
      </w:r>
      <w:r>
        <w:fldChar w:fldCharType="separate"/>
      </w:r>
      <w:r w:rsidR="001F7E08" w:rsidRPr="001F7E08">
        <w:rPr>
          <w:rStyle w:val="Hyperlink"/>
          <w:rFonts w:ascii="Times New Roman" w:hAnsi="Times New Roman" w:cs="Times New Roman"/>
          <w:bCs/>
          <w:color w:val="auto"/>
          <w:sz w:val="24"/>
          <w:szCs w:val="24"/>
          <w:u w:val="none"/>
        </w:rPr>
        <w:t>delasafitri841@gmail.com</w:t>
      </w:r>
      <w:r>
        <w:rPr>
          <w:rStyle w:val="Hyperlink"/>
          <w:rFonts w:ascii="Times New Roman" w:hAnsi="Times New Roman" w:cs="Times New Roman"/>
          <w:bCs/>
          <w:color w:val="auto"/>
          <w:sz w:val="24"/>
          <w:szCs w:val="24"/>
          <w:u w:val="none"/>
        </w:rPr>
        <w:fldChar w:fldCharType="end"/>
      </w:r>
    </w:p>
    <w:bookmarkEnd w:id="0"/>
    <w:p w14:paraId="391C2A80" w14:textId="3381B67E" w:rsidR="001F7E08" w:rsidRPr="001F7E08" w:rsidRDefault="001F7E08" w:rsidP="007449F9">
      <w:pPr>
        <w:spacing w:after="0" w:line="240" w:lineRule="auto"/>
        <w:jc w:val="center"/>
        <w:rPr>
          <w:rFonts w:ascii="Book Antiqua" w:hAnsi="Book Antiqua" w:cs="Times New Roman"/>
          <w:lang w:val="zh-CN" w:eastAsia="zh-CN"/>
        </w:rPr>
      </w:pPr>
      <w:r w:rsidRPr="001F7E08">
        <w:rPr>
          <w:rFonts w:ascii="Times New Roman" w:hAnsi="Times New Roman" w:cs="Times New Roman"/>
          <w:bCs/>
          <w:sz w:val="24"/>
          <w:szCs w:val="24"/>
        </w:rPr>
        <w:t>suryadiyadi426@yahoo.com</w:t>
      </w:r>
    </w:p>
    <w:p w14:paraId="551F7743" w14:textId="77777777" w:rsidR="002D6064" w:rsidRDefault="002D6064">
      <w:pPr>
        <w:spacing w:after="0" w:line="240" w:lineRule="auto"/>
        <w:jc w:val="both"/>
        <w:rPr>
          <w:rFonts w:ascii="Book Antiqua" w:hAnsi="Book Antiqua" w:cs="Times New Roman"/>
        </w:rPr>
      </w:pPr>
    </w:p>
    <w:p w14:paraId="332F39DB" w14:textId="1F9801AE" w:rsidR="002D6064" w:rsidRPr="00552B51" w:rsidRDefault="00B17D25" w:rsidP="00552B51">
      <w:pPr>
        <w:pStyle w:val="NormalWeb"/>
        <w:ind w:left="709"/>
        <w:jc w:val="both"/>
        <w:rPr>
          <w:rFonts w:ascii="Book Antiqua" w:hAnsi="Book Antiqua"/>
          <w:sz w:val="20"/>
          <w:szCs w:val="20"/>
        </w:rPr>
      </w:pPr>
      <w:r>
        <w:rPr>
          <w:rFonts w:ascii="Book Antiqua" w:hAnsi="Book Antiqua"/>
          <w:b/>
          <w:sz w:val="20"/>
        </w:rPr>
        <w:t xml:space="preserve">Abstract. </w:t>
      </w:r>
      <w:r w:rsidR="00552B51" w:rsidRPr="00552B51">
        <w:rPr>
          <w:rFonts w:ascii="Book Antiqua" w:hAnsi="Book Antiqua"/>
          <w:sz w:val="20"/>
          <w:szCs w:val="20"/>
        </w:rPr>
        <w:t>The study aims to explore the influence of personality and learning motivation on students' English reading skills. Individual personality can play an important role in the learning process, while learning motivation is a key factor that affects student skill levels. The study involved the participation of students from a variety of backgrounds, using quantitative methods to collect data through questionnaires and experiments using 2x2 design factorials.</w:t>
      </w:r>
      <w:r w:rsidR="00552B51">
        <w:rPr>
          <w:rFonts w:ascii="Book Antiqua" w:hAnsi="Book Antiqua"/>
          <w:sz w:val="20"/>
          <w:szCs w:val="20"/>
        </w:rPr>
        <w:t xml:space="preserve"> </w:t>
      </w:r>
      <w:r w:rsidR="00552B51" w:rsidRPr="00552B51">
        <w:rPr>
          <w:rFonts w:ascii="Book Antiqua" w:hAnsi="Book Antiqua"/>
          <w:sz w:val="20"/>
          <w:szCs w:val="20"/>
        </w:rPr>
        <w:t>Students with more open personalities tend to show improvements in their reading skills. Moreover, learning motivation also has a significant impact on reading skills, with students with high motivation tending to have better reading skill levels.</w:t>
      </w:r>
      <w:r w:rsidR="00A979F4">
        <w:rPr>
          <w:rFonts w:ascii="Book Antiqua" w:hAnsi="Book Antiqua"/>
          <w:sz w:val="20"/>
          <w:szCs w:val="20"/>
        </w:rPr>
        <w:t xml:space="preserve"> </w:t>
      </w:r>
      <w:r>
        <w:rPr>
          <w:rFonts w:ascii="Book Antiqua" w:hAnsi="Book Antiqua"/>
          <w:sz w:val="20"/>
        </w:rPr>
        <w:t xml:space="preserve">The population in this study was class XI of SMAN 1 </w:t>
      </w:r>
      <w:r>
        <w:rPr>
          <w:rFonts w:ascii="Book Antiqua" w:hAnsi="Book Antiqua"/>
          <w:sz w:val="20"/>
          <w:lang w:val="id-ID"/>
        </w:rPr>
        <w:t xml:space="preserve">Bojonegara </w:t>
      </w:r>
      <w:r>
        <w:rPr>
          <w:rFonts w:ascii="Book Antiqua" w:hAnsi="Book Antiqua"/>
          <w:sz w:val="20"/>
        </w:rPr>
        <w:t xml:space="preserve">with samples selected by random sampling which amounted to 68 students. The instruments used were </w:t>
      </w:r>
      <w:r>
        <w:rPr>
          <w:rFonts w:ascii="Book Antiqua" w:hAnsi="Book Antiqua"/>
          <w:sz w:val="20"/>
          <w:lang w:val="id-ID"/>
        </w:rPr>
        <w:t xml:space="preserve">test and questionnaire </w:t>
      </w:r>
      <w:r>
        <w:rPr>
          <w:rFonts w:ascii="Book Antiqua" w:hAnsi="Book Antiqua"/>
          <w:sz w:val="20"/>
        </w:rPr>
        <w:t xml:space="preserve">with the form of 20 multiple choice questions and </w:t>
      </w:r>
      <w:r>
        <w:rPr>
          <w:rFonts w:ascii="Book Antiqua" w:hAnsi="Book Antiqua"/>
          <w:sz w:val="20"/>
          <w:lang w:val="id-ID"/>
        </w:rPr>
        <w:t>30 questionnaire</w:t>
      </w:r>
      <w:r>
        <w:rPr>
          <w:rFonts w:ascii="Book Antiqua" w:hAnsi="Book Antiqua"/>
          <w:sz w:val="20"/>
        </w:rPr>
        <w:t xml:space="preserve">. For data collection techniques in this study using </w:t>
      </w:r>
      <w:r>
        <w:rPr>
          <w:rFonts w:ascii="Book Antiqua" w:hAnsi="Book Antiqua"/>
          <w:sz w:val="20"/>
          <w:lang w:val="id-ID"/>
        </w:rPr>
        <w:t>test and questionnaire</w:t>
      </w:r>
      <w:r>
        <w:rPr>
          <w:rFonts w:ascii="Book Antiqua" w:hAnsi="Book Antiqua"/>
          <w:sz w:val="20"/>
        </w:rPr>
        <w:t xml:space="preserve">. The results showed a significant </w:t>
      </w:r>
      <w:r>
        <w:rPr>
          <w:rFonts w:ascii="Book Antiqua" w:hAnsi="Book Antiqua"/>
          <w:sz w:val="20"/>
          <w:lang w:val="id-ID"/>
        </w:rPr>
        <w:t xml:space="preserve">effect </w:t>
      </w:r>
      <w:r>
        <w:rPr>
          <w:rFonts w:ascii="Book Antiqua" w:hAnsi="Book Antiqua"/>
          <w:sz w:val="20"/>
        </w:rPr>
        <w:t xml:space="preserve">between </w:t>
      </w:r>
      <w:r>
        <w:rPr>
          <w:rFonts w:ascii="Book Antiqua" w:hAnsi="Book Antiqua"/>
          <w:sz w:val="20"/>
          <w:lang w:val="id-ID"/>
        </w:rPr>
        <w:t>student personality and learning motviation on stu</w:t>
      </w:r>
      <w:r>
        <w:rPr>
          <w:rFonts w:ascii="Book Antiqua" w:hAnsi="Book Antiqua"/>
          <w:sz w:val="20"/>
          <w:lang w:val="en-US"/>
        </w:rPr>
        <w:t>d</w:t>
      </w:r>
      <w:r>
        <w:rPr>
          <w:rFonts w:ascii="Book Antiqua" w:hAnsi="Book Antiqua"/>
          <w:sz w:val="20"/>
          <w:lang w:val="id-ID"/>
        </w:rPr>
        <w:t>ents reading skill</w:t>
      </w:r>
      <w:r>
        <w:rPr>
          <w:rFonts w:ascii="Book Antiqua" w:hAnsi="Book Antiqua"/>
          <w:sz w:val="20"/>
        </w:rPr>
        <w:t>. The F</w:t>
      </w:r>
      <w:r>
        <w:rPr>
          <w:rFonts w:ascii="Book Antiqua" w:hAnsi="Book Antiqua"/>
          <w:sz w:val="20"/>
          <w:vertAlign w:val="subscript"/>
        </w:rPr>
        <w:t>0</w:t>
      </w:r>
      <w:r>
        <w:rPr>
          <w:rFonts w:ascii="Book Antiqua" w:hAnsi="Book Antiqua"/>
          <w:sz w:val="20"/>
        </w:rPr>
        <w:t xml:space="preserve"> value is </w:t>
      </w:r>
      <w:r>
        <w:rPr>
          <w:rFonts w:ascii="Book Antiqua" w:hAnsi="Book Antiqua"/>
          <w:sz w:val="20"/>
          <w:lang w:val="id-ID"/>
        </w:rPr>
        <w:t xml:space="preserve">5.072 </w:t>
      </w:r>
      <w:r>
        <w:rPr>
          <w:rFonts w:ascii="Book Antiqua" w:hAnsi="Book Antiqua"/>
          <w:sz w:val="20"/>
        </w:rPr>
        <w:t xml:space="preserve">and Sig. is </w:t>
      </w:r>
      <w:r>
        <w:rPr>
          <w:rFonts w:ascii="Book Antiqua" w:hAnsi="Book Antiqua"/>
          <w:sz w:val="20"/>
          <w:lang w:val="id-ID"/>
        </w:rPr>
        <w:t>0.028</w:t>
      </w:r>
      <w:r>
        <w:rPr>
          <w:rFonts w:ascii="Book Antiqua" w:hAnsi="Book Antiqua"/>
          <w:sz w:val="20"/>
        </w:rPr>
        <w:t xml:space="preserve"> &lt; 0.05. Thus, the null hypothesis (H</w:t>
      </w:r>
      <w:r>
        <w:rPr>
          <w:rFonts w:ascii="Book Antiqua" w:hAnsi="Book Antiqua"/>
          <w:sz w:val="20"/>
          <w:vertAlign w:val="subscript"/>
        </w:rPr>
        <w:t>0</w:t>
      </w:r>
      <w:r>
        <w:rPr>
          <w:rFonts w:ascii="Book Antiqua" w:hAnsi="Book Antiqua"/>
          <w:sz w:val="20"/>
        </w:rPr>
        <w:t>) is rejected and the alternative hypothesis (H</w:t>
      </w:r>
      <w:r>
        <w:rPr>
          <w:rFonts w:ascii="Book Antiqua" w:hAnsi="Book Antiqua"/>
          <w:sz w:val="20"/>
          <w:vertAlign w:val="subscript"/>
        </w:rPr>
        <w:t>1</w:t>
      </w:r>
      <w:r>
        <w:rPr>
          <w:rFonts w:ascii="Book Antiqua" w:hAnsi="Book Antiqua"/>
          <w:sz w:val="20"/>
        </w:rPr>
        <w:t xml:space="preserve">) is accepted. That is, there is an interaction between </w:t>
      </w:r>
      <w:r>
        <w:rPr>
          <w:rFonts w:ascii="Book Antiqua" w:hAnsi="Book Antiqua"/>
          <w:sz w:val="20"/>
          <w:lang w:val="id-ID"/>
        </w:rPr>
        <w:t>student personality and learning motivation on students reading skill</w:t>
      </w:r>
      <w:r>
        <w:rPr>
          <w:rFonts w:ascii="Book Antiqua" w:hAnsi="Book Antiqua"/>
          <w:sz w:val="20"/>
        </w:rPr>
        <w:t>.</w:t>
      </w:r>
    </w:p>
    <w:p w14:paraId="35CB4B58" w14:textId="77777777" w:rsidR="002D6064" w:rsidRDefault="00B17D25">
      <w:pPr>
        <w:spacing w:after="0" w:line="240" w:lineRule="auto"/>
        <w:ind w:left="720" w:right="720"/>
        <w:jc w:val="both"/>
        <w:rPr>
          <w:rFonts w:ascii="Book Antiqua" w:hAnsi="Book Antiqua" w:cs="Times New Roman"/>
        </w:rPr>
      </w:pPr>
      <w:r>
        <w:rPr>
          <w:rFonts w:ascii="Book Antiqua" w:hAnsi="Book Antiqua" w:cs="Times New Roman"/>
          <w:sz w:val="20"/>
        </w:rPr>
        <w:t xml:space="preserve"> </w:t>
      </w:r>
    </w:p>
    <w:p w14:paraId="53163F11" w14:textId="03A1F1EB" w:rsidR="002D6064" w:rsidRDefault="00B17D25">
      <w:pPr>
        <w:spacing w:after="0" w:line="240" w:lineRule="auto"/>
        <w:ind w:left="720" w:right="720"/>
        <w:jc w:val="both"/>
        <w:rPr>
          <w:rFonts w:ascii="Book Antiqua" w:hAnsi="Book Antiqua" w:cs="Times New Roman"/>
          <w:b/>
          <w:sz w:val="20"/>
        </w:rPr>
      </w:pPr>
      <w:r>
        <w:rPr>
          <w:rFonts w:ascii="Book Antiqua" w:hAnsi="Book Antiqua" w:cs="Times New Roman"/>
          <w:b/>
          <w:sz w:val="20"/>
        </w:rPr>
        <w:t xml:space="preserve">Keywords: </w:t>
      </w:r>
      <w:r>
        <w:rPr>
          <w:rFonts w:ascii="Book Antiqua" w:hAnsi="Book Antiqua"/>
          <w:sz w:val="20"/>
          <w:lang w:val="id-ID"/>
        </w:rPr>
        <w:t>student personality, learni</w:t>
      </w:r>
      <w:r w:rsidR="00E81B80">
        <w:rPr>
          <w:rFonts w:ascii="Book Antiqua" w:hAnsi="Book Antiqua"/>
          <w:sz w:val="20"/>
          <w:lang w:val="en-US"/>
        </w:rPr>
        <w:t>n</w:t>
      </w:r>
      <w:r>
        <w:rPr>
          <w:rFonts w:ascii="Book Antiqua" w:hAnsi="Book Antiqua"/>
          <w:sz w:val="20"/>
          <w:lang w:val="id-ID"/>
        </w:rPr>
        <w:t>g motivation, reading skill</w:t>
      </w:r>
      <w:r>
        <w:rPr>
          <w:rFonts w:ascii="Book Antiqua" w:hAnsi="Book Antiqua"/>
          <w:sz w:val="20"/>
        </w:rPr>
        <w:t>.</w:t>
      </w:r>
      <w:r>
        <w:rPr>
          <w:rFonts w:ascii="Book Antiqua" w:hAnsi="Book Antiqua" w:cs="Times New Roman"/>
          <w:sz w:val="20"/>
        </w:rPr>
        <w:t xml:space="preserve"> </w:t>
      </w:r>
    </w:p>
    <w:p w14:paraId="177E4FB0" w14:textId="77777777" w:rsidR="002D6064" w:rsidRDefault="002D6064">
      <w:pPr>
        <w:spacing w:after="0" w:line="240" w:lineRule="auto"/>
        <w:jc w:val="both"/>
        <w:rPr>
          <w:rFonts w:ascii="Book Antiqua" w:hAnsi="Book Antiqua" w:cs="Times New Roman"/>
          <w:b/>
          <w:szCs w:val="24"/>
        </w:rPr>
      </w:pPr>
    </w:p>
    <w:p w14:paraId="63C3C49D" w14:textId="77777777" w:rsidR="002D6064" w:rsidRDefault="002D6064">
      <w:pPr>
        <w:spacing w:after="0" w:line="240" w:lineRule="auto"/>
        <w:jc w:val="both"/>
        <w:rPr>
          <w:rFonts w:ascii="Book Antiqua" w:hAnsi="Book Antiqua" w:cs="Times New Roman"/>
          <w:b/>
          <w:szCs w:val="24"/>
        </w:rPr>
      </w:pPr>
    </w:p>
    <w:p w14:paraId="685AA548" w14:textId="77777777" w:rsidR="002D6064" w:rsidRDefault="00B17D25">
      <w:pPr>
        <w:spacing w:after="0" w:line="240" w:lineRule="auto"/>
        <w:jc w:val="both"/>
        <w:rPr>
          <w:rFonts w:ascii="Book Antiqua" w:hAnsi="Book Antiqua" w:cs="Times New Roman"/>
          <w:b/>
          <w:sz w:val="24"/>
          <w:szCs w:val="24"/>
        </w:rPr>
      </w:pPr>
      <w:r>
        <w:rPr>
          <w:rFonts w:ascii="Book Antiqua" w:hAnsi="Book Antiqua" w:cs="Times New Roman"/>
          <w:b/>
          <w:sz w:val="24"/>
          <w:szCs w:val="24"/>
        </w:rPr>
        <w:t>Introduction</w:t>
      </w:r>
    </w:p>
    <w:p w14:paraId="7883AAB9" w14:textId="77777777" w:rsidR="002D6064" w:rsidRDefault="00B17D25" w:rsidP="00A05E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personalities of students encompass a range of distinct attributes, such as their degree of autonomy, areas of interest, and preferred methods of learning, all of which have a direct impact on their level of involvement in the educational experience. Reading proficiency plays a crucial role in comprehending and excelling in the English language, thereby influencing pupils' motivation and level of interest in studying. The significance of personality in the context of English learning is seen in the degree to which students can adjust to different teaching </w:t>
      </w:r>
      <w:r>
        <w:rPr>
          <w:rFonts w:ascii="Times New Roman" w:hAnsi="Times New Roman" w:cs="Times New Roman"/>
          <w:sz w:val="24"/>
          <w:szCs w:val="24"/>
        </w:rPr>
        <w:lastRenderedPageBreak/>
        <w:t>approaches, while also exploring their creative abilities and particular passions. Students with adaptable personalities exhibit higher levels of motivation when confronted with learning hurdles, such as acquiring proficiency in English reading abilities. Proficiency in reading, as a fundamental aptitude for comprehending written material, directly influences pupils' level of enthusiasm to learn. Proficient readers can achieve success in comprehending the content, so motivating them to further enhance their understanding and proficiency in the English language. Conversely, the challenge of reading can lead to feelings of dissatisfaction and diminish one's drive to acquire knowledge. To optimize learning motivation, English learning systems can be customized by comprehending the intricate interplay between students' personalities and their reading abilities. Hence, it is imperative to do additional research and get a deeper comprehension of this correlation in order to formulate educational approaches that can effectively inspire students' enthusiasm, ingenuity, and drive to excel in the acquisition of the English language.</w:t>
      </w:r>
    </w:p>
    <w:p w14:paraId="6E3966CD" w14:textId="52166190" w:rsidR="002D6064" w:rsidRPr="00A05EB2" w:rsidRDefault="00B17D25" w:rsidP="001F7E08">
      <w:pPr>
        <w:pStyle w:val="NormalWeb"/>
        <w:spacing w:before="0" w:beforeAutospacing="0" w:after="0" w:afterAutospacing="0"/>
        <w:ind w:firstLine="567"/>
        <w:jc w:val="both"/>
        <w:rPr>
          <w:color w:val="252525"/>
          <w:lang w:val="en-US"/>
        </w:rPr>
      </w:pPr>
      <w:r>
        <w:t>Motivation is an alteration in an individual's energy state marked by an internal impetus to accomplish objectives. The motivation and entrepreneurial responses triggered by the desire for success in life. This pertains to persons who has the determination, aspiration, and motivation to attain exceptional educational achievements</w:t>
      </w:r>
      <w:r>
        <w:rPr>
          <w:lang w:val="id-ID"/>
        </w:rPr>
        <w:t xml:space="preserve"> </w:t>
      </w:r>
      <w:r>
        <w:rPr>
          <w:lang w:val="id-ID"/>
        </w:rPr>
        <w:fldChar w:fldCharType="begin" w:fldLock="1"/>
      </w:r>
      <w:r>
        <w:rPr>
          <w:lang w:val="id-ID"/>
        </w:rPr>
        <w:instrText>ADDIN CSL_CITATION {"citationItems":[{"id":"ITEM-1","itemData":{"DOI":"10.22373/lj.v4i2.1881","ISSN":"2356-3133","abstract":"That the learning outcomes is an overview of the progress or development of students from the first to follow the educational program until the time they ended the educational program which he passes. So the study results can be seen after learners gain experience learning and behavioral changes. So with a change in the student after a learning experience and that's called learning outcomes. Someone students who have high motivation to learn, have the drive or desire to learn a subject, students who have the desire and drive to learn a subject guided by their needs. One needs are close to success in learning a subject is need for achievement. That students who have high motivation to learn, will be marked with a bold desire to compete and receive feedback and encouragement to always be responsible and goal attainment. That students who have the drive to take responsibility and achievement of learning objectives, makes the learners to always be disciplined and focused in learning a subject. Therefore, students who have high motivation to learn, will get better learning outcomes compared to students with low learning motivation. Thus, if in improving learning outcomes of a subject, the need for efforts to increase student motivation. Motivation is realized in the form of action, is one factor that can be used to predict the progress of learning.","author":[{"dropping-particle":"","family":"Muhammad","given":"Maryam","non-dropping-particle":"","parse-names":false,"suffix":""}],"container-title":"Lantanida Journal","id":"ITEM-1","issue":"2","issued":{"date-parts":[["2017"]]},"page":"87","title":"Pengaruh Motivasi Dalam Pembelajaran","type":"article-journal","volume":"4"},"uris":["http://www.mendeley.com/documents/?uuid=d5ec1bda-dd89-44d3-8789-4b0e0e3e2562"]}],"mendeley":{"formattedCitation":"(Muhammad 2017)","plainTextFormattedCitation":"(Muhammad 2017)","previouslyFormattedCitation":"(Muhammad 2017)"},"properties":{"noteIndex":0},"schema":"https://github.com/citation-style-language/schema/raw/master/csl-citation.json"}</w:instrText>
      </w:r>
      <w:r>
        <w:rPr>
          <w:lang w:val="id-ID"/>
        </w:rPr>
        <w:fldChar w:fldCharType="separate"/>
      </w:r>
      <w:r>
        <w:rPr>
          <w:lang w:val="id-ID"/>
        </w:rPr>
        <w:t>(Muhammad 2017)</w:t>
      </w:r>
      <w:r>
        <w:rPr>
          <w:lang w:val="id-ID"/>
        </w:rPr>
        <w:fldChar w:fldCharType="end"/>
      </w:r>
      <w:r>
        <w:rPr>
          <w:lang w:val="id-ID"/>
        </w:rPr>
        <w:t>.</w:t>
      </w:r>
      <w:r>
        <w:t xml:space="preserve"> Learning motivation refers to the state of an individual characterized by a strong desire to take action in order to attain a specific objective</w:t>
      </w:r>
      <w:r>
        <w:rPr>
          <w:lang w:val="id-ID"/>
        </w:rPr>
        <w:t xml:space="preserve"> </w:t>
      </w:r>
      <w:r>
        <w:rPr>
          <w:lang w:val="id-ID"/>
        </w:rPr>
        <w:fldChar w:fldCharType="begin" w:fldLock="1"/>
      </w:r>
      <w:r>
        <w:rPr>
          <w:lang w:val="id-ID"/>
        </w:rPr>
        <w:instrText>ADDIN CSL_CITATION {"citationItems":[{"id":"ITEM-1","itemData":{"DOI":"10.22373/lj.v5i2.2838","ISSN":"2356-3133","abstract":"Learning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learning.","author":[{"dropping-particle":"","family":"Emda","given":"Amna","non-dropping-particle":"","parse-names":false,"suffix":""}],"container-title":"Lantanida Journal","id":"ITEM-1","issue":"2","issued":{"date-parts":[["2018"]]},"page":"172","title":"Kedudukan Motivasi Belajar Siswa Dalam Pembelajaran","type":"article-journal","volume":"5"},"uris":["http://www.mendeley.com/documents/?uuid=15102cdb-4b77-4c3e-b4f2-ac4f7e2a2cc8"]}],"mendeley":{"formattedCitation":"(Emda 2018)","plainTextFormattedCitation":"(Emda 2018)","previouslyFormattedCitation":"(Emda 2018)"},"properties":{"noteIndex":0},"schema":"https://github.com/citation-style-language/schema/raw/master/csl-citation.json"}</w:instrText>
      </w:r>
      <w:r>
        <w:rPr>
          <w:lang w:val="id-ID"/>
        </w:rPr>
        <w:fldChar w:fldCharType="separate"/>
      </w:r>
      <w:r>
        <w:rPr>
          <w:lang w:val="id-ID"/>
        </w:rPr>
        <w:t>(Emda 2018)</w:t>
      </w:r>
      <w:r>
        <w:rPr>
          <w:lang w:val="id-ID"/>
        </w:rPr>
        <w:fldChar w:fldCharType="end"/>
      </w:r>
      <w:r>
        <w:rPr>
          <w:lang w:val="id-ID"/>
        </w:rPr>
        <w:t>.</w:t>
      </w:r>
      <w:r>
        <w:t xml:space="preserve"> </w:t>
      </w:r>
      <w:r w:rsidR="00230207">
        <w:rPr>
          <w:color w:val="252525"/>
        </w:rPr>
        <w:t xml:space="preserve">The term "motivation" describes the inner urge </w:t>
      </w:r>
      <w:r>
        <w:t>that encourages individuals to engage in specific activities in order to accomplish their desired objectives. In educational endeavors, motivation refers to the internal drive within pupils that leads to accountability, persistence, and active engagement in the learning process, ultimately enabling students to attain their objectives. In the process of learning, motivation plays a crucial role since individuals lacking the will to study may encounter lethargy during the learning process. Therefore, students require motivation for effective progress</w:t>
      </w:r>
      <w:r w:rsidR="00A05EB2">
        <w:t xml:space="preserve"> </w:t>
      </w:r>
      <w:r>
        <w:rPr>
          <w:lang w:val="id-ID"/>
        </w:rPr>
        <w:fldChar w:fldCharType="begin" w:fldLock="1"/>
      </w:r>
      <w:r>
        <w:rPr>
          <w:lang w:val="id-ID"/>
        </w:rPr>
        <w:instrText>ADDIN CSL_CITATION {"citationItems":[{"id":"ITEM-1","itemData":{"DOI":"10.23887/jjbk.v12i1.31311","ISSN":"2613-9634","abstract":"Abstract: This study aims examine strategies to increase student motivation during the covid – 19 pandemic. This research is a literature review where the researcher conducts an in-depth study of previous studies. Strategies to increase student motivation during the covid – 19 pandemic were found in various ways, such as persuasive communication, ACRS Techniques, using animated video, Virtual Laboratory, active teacher roles, creative teachers, Class Discussion, Role Play Method, Comic Media, Audio Visual Media, Blended Learning Method, Quantum Learning Strategy, lightening the learning climate learning strategy, Think Pair Share (TPS) learning strategy, Genius Learning, SAVI Learning Strategy, stong wind gust strategy, Inquiry Learning Strategy, cooperative learning model spotlight strategy. What students need to understand is that no matter how great motivator is, if there is no desire from within, the motivation will never be realized.Indonesian Abstract: Penelitian ini bertujuan untuk mengkaji strategi peningkatan motivasi siswa selama pandemi COVID-19. Penelitian ini merupakan studi pustaka dimana peneliti melakukan studi mendalam terhadap penelitian sebelumnya. Strategi untuk meningkatkan motivasi siswa selama pandemi COVID-19 ditemukan dengan berbagai cara, seperti komunikasi persuasif, Teknik ACRS, menggunakan video animasi, Laboratorium Virtual, peran aktif guru, guru kreatif, Diskusi Kelas, Metode Role Play, Media Komik, Audio Media Visual, Metode Pembelajaran Blended, Strategi Pembelajaran Quantum, Strategi Pembelajaran Peringan Iklim, Strategi Pembelajaran Think Pair Share (TPS), Pembelajaran Genius, Strategi Pembelajaran SAVI, Strategi Stong Wind Gust, Strategi Pembelajaran Inkuiri, Strategi Lampu Sorot Model Pembelajaran Kooperatif. Yang perlu dipahami siswa adalah bahwa sekuat apapun motivatornya, jika tidak ada keinginan dari dalam, maka motivasi tersebut tidak akan pernah terwujud.","author":[{"dropping-particle":"","family":"Muawanah","given":"Eis Imroatul","non-dropping-particle":"","parse-names":false,"suffix":""},{"dropping-particle":"","family":"Muhid","given":"Abdul","non-dropping-particle":"","parse-names":false,"suffix":""}],"container-title":"Jurnal Ilmiah Bimbingan Konseling Undiksha","id":"ITEM-1","issue":"1","issued":{"date-parts":[["2021"]]},"page":"90-98","title":"Strategi Meningkatkan Motivasi Belajar Siswa Selama Pandemi Covid–19: Literature Review","type":"article-journal","volume":"12"},"uris":["http://www.mendeley.com/documents/?uuid=2aa8be2c-6e96-483b-8e21-6eaccdb4955f"]}],"mendeley":{"formattedCitation":"(Muawanah and Muhid 2021)","plainTextFormattedCitation":"(Muawanah and Muhid 2021)","previouslyFormattedCitation":"(Muawanah and Muhid 2021)"},"properties":{"noteIndex":0},"schema":"https://github.com/citation-style-language/schema/raw/master/csl-citation.json"}</w:instrText>
      </w:r>
      <w:r>
        <w:rPr>
          <w:lang w:val="id-ID"/>
        </w:rPr>
        <w:fldChar w:fldCharType="separate"/>
      </w:r>
      <w:r>
        <w:rPr>
          <w:lang w:val="id-ID"/>
        </w:rPr>
        <w:t>(Muawanah and Muhid 2021)</w:t>
      </w:r>
      <w:r>
        <w:rPr>
          <w:lang w:val="id-ID"/>
        </w:rPr>
        <w:fldChar w:fldCharType="end"/>
      </w:r>
      <w:r>
        <w:rPr>
          <w:lang w:val="id-ID"/>
        </w:rPr>
        <w:t>.</w:t>
      </w:r>
      <w:r w:rsidR="00A05EB2">
        <w:rPr>
          <w:lang w:val="en-US"/>
        </w:rPr>
        <w:t xml:space="preserve"> </w:t>
      </w:r>
    </w:p>
    <w:p w14:paraId="2B29C062" w14:textId="77777777" w:rsidR="002D6064" w:rsidRDefault="00B17D25" w:rsidP="00A05E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Motivation is an intrinsic force that might enhance one's inclination towards engaging in a particular activity. With motivation, you will be stimulated to perform a work with excellence. The motivation can be attributed to both internal and external causes. Typically, as an adult, internal motivation tends to have a greater influence than external motivation. In adulthood, one must have the ability to self-regulate and maintain a high level of motivation in order to fully engage in the learning process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{"citationItems":[{"id":"ITEM-1","itemData":{"DOI":"10.24036/jtev.v5i2.105133","ISSN":"2746-6086","abstract":"Abstrak Penelitian ini bertujuan melihat pengaruh penggunaan media E-Learning terhadap motivasi belajar mahasiswa di Program Studi Pendidikan Teknik Elektro (PSPTE) Universitas Negeri Padang. Jenis penelitian yang digunakan adalah penelitian kuantitatif dengan pendekatan korelasional. Populasi penelitian ini adalah mahasiswa PSPTE yang sudah pernah belajar menggunakan E-Learning pada semester Juli-Desember 2018 dengan jumlah 69 orang. Pengambilan sampel menggunakan teknik random sampling dengan menggunakan metode slavin, sehingga terdapat 40 responden untuk penelitian dan 29 responden untuk ujii coba instrumen. Instrument pada penelitian menggunakan angket tertutup dengan skala likert. Data dianalisis dengan bantuan SPSS versi 22. Hasil penelitian menunjukkan terdapat hubungan antara penggunaan E-Learning dengan motivasi belajar mahasiswa yaitu dengan nilai koefisien korelasi sebesar 0.625. Nilai ini berarti memiliki hubungan yang tinggi. Selanjutnya dilakukan analisis regresi untuk melihat pengaruh antara penggunaan media pembelajaran E-Learning terhadap motivasi belajar mahasiswa dan di dapatkan koefisien regresi (x) sebesar 0,737. Nilai ini berarti bahwa setiap penambahan 1% nilai penggunaan media E-Learning maka nilai motivasi mahasiswa bertambah 0,737. Abstract This study aims to look at the effect of the use of E-Learning media on student motivation in the Electrical Engineering Education Study Program (PSPTE) of Universitas Negeri Padang. This type of research is quantitative research with a correlational approach. The research population is PSPTE students who have learned to use E-Learning in the July-December semester 2018 with a total of 69 people. Sampling uses a random sampling technique using the Slavin method so that there are 40 respondents for the study and 29 respondents for the trial of the instrument. The instrument in this study used a closed questionnaire with a Likert scale. Data were analyzed with the help of SPSS version 22. The results showed that there was a relationship between the use of E-Learning and student learning motivation with a correlation coefficient of 0.625. This value means having a high relationship. Furthermore, regression analysis is performed to see the effect between the use of E-Learning learning media on student learning motivation and a regression coefficient (x) of 0.737. This value means that for every 1% increase in the value of using E-Learning media, the value of student motivation increases by 0.737.","author":[{"dropping-particle":"","family":"Aurora","given":"Aviva","non-dropping-particle":"","parse-names":false,"suffix":""},{"dropping-particle":"","family":"Effendi","given":"Hansi","non-dropping-particle":"","parse-names":false,"suffix":""}],"container-title":"JTEV (Jurnal Teknik Elektro dan Vokasional)","id":"ITEM-1","issue":"2","issued":{"date-parts":[["2019"]]},"page":"11","title":"Pengaruh Penggunaan Media Pembelajaran E-learning terhadap Motivasi Belajar Mahasiswa di Universitas Negeri Padang","type":"article-journal","volume":"5"},"uris":["http://www.mendeley.com/documents/?uuid=2d39408c-0c7e-49db-9588-833e8ce95585"]}],"mendeley":{"formattedCitation":"(Aurora and Effendi 2019)","plainTextFormattedCitation":"(Aurora and Effendi 2019)","previouslyFormattedCitation":"(Aurora and Effendi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(Aurora and Effendi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Motivation is a crucial factor in supplying the necessary drive, guiding and sustaining favorable student conduct to consistently engage in the learning process, and also impacting student learning progress in order to enhance their passion for learning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{"citationItems":[{"id":"ITEM-1","itemData":{"DOI":"10.11591/ijere.v9i4.20657","ISSN":"26205440","abstract":"The student's self-regulation and motivation are essential for students to study. Especially with 21st-century learning students are required to be more active in learning than teachers. This Mixed Methods research aimed to determine the influence between the students' self-regulation with the motivation of students learning. The sample size was 534 students from Madrasah Tsanawiyah in Jambi city, Indonesia determined by total sampling technique. Data were then analyzed with the SPSS 21 application to find descriptive statistics as well as inferential statistics using simple regression and for comparison using the independent sample T-Test. The results of this research are dominant in both self-regulation and student motivation in learning, which is strengthened by the relationship and influence between self-regulation and the motivation of students in learning. It is seen from the value of sig = 0.019 and has a contribution of 70.3%. According to the results, it is recommended that students need to be given the opportunity to conduct learning directly and teachers must perform innovative learning.","author":[{"dropping-particle":"","family":"Tanti","given":"Tanti","non-dropping-particle":"","parse-names":false,"suffix":""},{"dropping-particle":"","family":"Maison","given":"Maison","non-dropping-particle":"","parse-names":false,"suffix":""},{"dropping-particle":"","family":"Syefrinando","given":"Boby","non-dropping-particle":"","parse-names":false,"suffix":""},{"dropping-particle":"","family":"Daryanto","given":"Mahbub","non-dropping-particle":"","parse-names":false,"suffix":""},{"dropping-particle":"","family":"Salma","given":"Hayyu","non-dropping-particle":"","parse-names":false,"suffix":""}],"container-title":"International Journal of Evaluation and Research in Education","id":"ITEM-1","issue":"4","issued":{"date-parts":[["2020"]]},"page":"865-873","title":"Students’ Self-Regulation and Motivation in Learning Science","type":"article-journal","volume":"9"},"uris":["http://www.mendeley.com/documents/?uuid=ba5283e4-fcd4-4fac-ad5f-48a54484d832"]}],"mendeley":{"formattedCitation":"(Tanti et al. 2020)","plainTextFormattedCitation":"(Tanti et al. 2020)","previouslyFormattedCitation":"(Tanti et al.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(Tanti et al.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7BC63774" w14:textId="77777777" w:rsidR="002D6064" w:rsidRDefault="00B17D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effectively learn a lesson, one must possess motivation to cultivate a sense of passion for the learning process. This is particularly important while acquiring a foreign language, such as English. English is an extraneous language that necessitates acquisition by pupils in high school (SMA) or an equivalent level of education. Acquiring proficiency in a foreign language demands greater exertion due to its infrequent usage in daily interactions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{"citationItems":[{"id":"ITEM-1","itemData":{"DOI":"10.28926/briliant.v4i1.277","ISSN":"2541-4216","abstract":"Penelitian ini bertujuan untuk mengetahui motivasi belajar bahasa Inggris baik motivasi intrinsik maupun ekstrinsik pada siswa Madrasah Aliyah Darul Muta'allimin Sugihwaras Patianrowo Nganjuk. Metode yang digunakan pada penelitian ini yaitu kuantitatif dengan sampel 30 siswa. Sedangkan untuk metode pengumpulan data dengan menggunakan angket yang berisi masing-masing 10 pertanyaan untuk motivasi intrinsik dan ekstrinsik. Hasil penelitian menunjukkan bahwa motivasi siswa dalam belajar bahasa Inggris yang paling dominan yaitu motivasi ekstrinsik dengan nilai 3,04. Sedangkan motivasi intrinsik lebih rendah yaitu 2,9 dari skala 4. Dengan demikian dapat disimpulkan bahwa motivasi siswa dalam belajar bahasa Inggris diperoleh dari luar diri mereka sendiri yaitu seperti dari lingkungan dan teman. Sehingga guru perlu memberikan motivasi yang lebih agar keinginan siswa dalam belajar bahasa Inggris muncul dari dalam diri mereka sendiri sehingga mereka akan lebih bersemangat dan giat untuk mencapai keberhasilan dalam belajar bahasa Inggris.","author":[{"dropping-particle":"","family":"Mubarok","given":"Tyas Alhim","non-dropping-particle":"","parse-names":false,"suffix":""}],"container-title":"Briliant: Jurnal Riset dan Konseptual","id":"ITEM-1","issue":"1","issued":{"date-parts":[["2019"]]},"page":"118","title":"Motivasi Belajar Bahasa Inggris pada Siswa Madrasah Aliyah Darul Muta'allimin Sugihwaras Patianrowo Nganjuk","type":"article-journal","volume":"4"},"uris":["http://www.mendeley.com/documents/?uuid=f6f1dc4b-4801-4b2d-8d6f-33ef1869c9a6"]}],"mendeley":{"formattedCitation":"(Mubarok 2019)","plainTextFormattedCitation":"(Mubarok 2019)","previouslyFormattedCitation":"(Mubarok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(Mubarok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The demand for English language proficiency in the contemporary day is not a novel phenomenon. Rapid advancements in technology and global communication have created chances for individuals to engage in diverse industries. The field of education plays </w:t>
      </w:r>
      <w:r>
        <w:rPr>
          <w:rFonts w:ascii="Times New Roman" w:hAnsi="Times New Roman" w:cs="Times New Roman"/>
          <w:sz w:val="24"/>
          <w:szCs w:val="24"/>
        </w:rPr>
        <w:lastRenderedPageBreak/>
        <w:t>a crucial role in fostering the development of proficient and competitive students. In order to adapt to the era of globalization, it is imperative for individuals to acquire proficiency in a foreign language, particularly English. This is crucial for effectively utilizing communication technology, facilitating direct interaction, and enhancing proficiency in other foreign languages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{"citationItems":[{"id":"ITEM-1","itemData":{"DOI":"10.31004/cdj.v3i1.4026","ISSN":"2721-4990","abstract":"Pentingnya penguasaan Bahasa Inggris bagi setiap peserta didik merupakan hal yang perlu diperhatikan, baik oleh para tenaga pendidik maupun peserta didik itu sendiri. Hal ini mengingat kemajuan ilmu pengetahuan dan teknologi yang terus berkembang menuntut para individu untuk dapat menguasai keterampilan Bahasa Inggris. Kegiatan Pengabdian Kepada Masyarakat ini bertujuan untuk memberikan pelatihan pembelajaran dasar Bahasa Inggris kepada siswa-siswi SMA/MA/SMK di desa Purworejo, Kecamatan Kotagajah, Kabupaten Lampung Tengah guna meningkatkan kemampuan Bahasa Inggris mereka. Adapun tahapan kegiatan ini adalah: 1) pemberian materi Bahasa Inggris mengenai self-introduction dan daily activities, 2) pendampingan pembelajaran Bahasa Inggris, seperti sesi konsultasi atau tanya jawab saat diperlukan, dan 3) evaluasi kegiatan dengan meminta respon dan saran terhadap kebermanfaatan kegiatan PKM yang telah dilakukan. Luaran dari kegiatan ini adalah meningkatnya kemampuan Bahasa Inggris siswa-siswi SMA/MA/SMK desa Purworejo, Kecamatan Kotagajah, Kabupaten Lampung Tengah yang ditujukan oleh hasil wawancara para peserta didik setelah mendapatkan kegiatan pelatihan pembelajaran Bahasa Inggris.","author":[{"dropping-particle":"","family":"Mandasari","given":"Berlinda","non-dropping-particle":"","parse-names":false,"suffix":""},{"dropping-particle":"","family":"Aminatun","given":"Dyah","non-dropping-particle":"","parse-names":false,"suffix":""},{"dropping-particle":"","family":"Pustika","given":"Reza","non-dropping-particle":"","parse-names":false,"suffix":""},{"dropping-particle":"","family":"Setiawansyah","given":"Setiawansyah","non-dropping-particle":"","parse-names":false,"suffix":""},{"dropping-particle":"","family":"Megawaty","given":"Dyah Ayu","non-dropping-particle":"","parse-names":false,"suffix":""},{"dropping-particle":"","family":"Ahmad","given":"Imam","non-dropping-particle":"","parse-names":false,"suffix":""},{"dropping-particle":"","family":"Alita","given":"Debby","non-dropping-particle":"","parse-names":false,"suffix":""}],"container-title":"Community Development Journal : Jurnal Pengabdian Masyarakat","id":"ITEM-1","issue":"1","issued":{"date-parts":[["2022"]]},"page":"332-338","title":"Pendampingan Pembelajaran Bahasa Inggris Bagi Siswa-Siswi Sma/Ma/Smk Di Desa Purworejo Lampung Tengah","type":"article-journal","volume":"3"},"uris":["http://www.mendeley.com/documents/?uuid=12071d3e-05b6-4a23-bd2a-b6bd0fc3939b"]}],"mendeley":{"formattedCitation":"(Mandasari et al. 2022)","plainTextFormattedCitation":"(Mandasari et al. 2022)","previouslyFormattedCitation":"(Mandasari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(Mandasari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Proficiency in the English language facilitates communication with individuals from diverse global regions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{"citationItems":[{"id":"ITEM-1","itemData":{"DOI":"10.31764/jmm.v6i4.9378","ISSN":"2598-8158","abstract":"Abstrak: Pandemi Covid-19 telah menimbulkan berbagai tantangan dalam proses pembelajaran bahasa Inggris yang berdampak pada menurunnya motivasi siswa. Kegiatan pelatihan bahasa Inggris secara daring memberikan wadah bagi siswa SMA dan SMK untuk meningkatkan kemampuan bahasa Inggris serta menumbuhkan motivasi dan nilai-nilai positif dalam diri mereka. Kegiatan pelatihan ini dilaksanakan secara daring melalui aplikasi Zoom dan Google Classroom. Mitra kegiatan pengabdian ini adalah siswa SMA dan SMK kelas XII dari berbagai kabupaten dan kota di Provinsi Bali dan provinsi lain. Jumlah peserta yang mengikuti pelatihan adalah 67 orang yang dibagi ke dalam empat kelas sesuai dengan kemampuan bahasa Inggris mereka. Sebagai bentuk evaluasi, peserta diminta mengisi google form refleksi diri untuk menyampaikan kesan dan pesan mereka setelah mengikuti pelatihan. Berdasarkan hasil refleksi diri, dapat disimpulkan bahwa 99,1% peserta mengalami peningkatan motivasi belajar bahasa Inggris. Selain itu, peserta mendapatkan berbagai hal positif dari kegiatan pelatihan antara lain keterampilan berkomunikasi dalam bahasa Inggris, rasa percaya diri dalam mengungkapkan pendapat, serta wawasan yang semakin luas.Abstract: The Covid-19 pandemic has caused various challenges in the English learning process, impacting student motivation. Online English language training provides a platform for high school and vocational high school students to improve their English skills and foster motivation and positive values in themselves. The training was conducted online through the Zoom application and Google Classroom. Partners of this community service are the grade 12 students of high schools and vocational high schools from various districts and cities in Bali Province and other provinces. The number of participants who participated in the training was 67 people. The participants were divided into four classes according to their English language levels. As a form of evaluation, participants were asked to fill out a self-reflection form to convey their impressions and suggestions after attending the training. Based on the results of self-reflection, it can be concluded that 99.1% of participants experienced an increase in their motivation to learn English. In addition, participants received various positive things from the training activities, including communication skills in English, confidence in expressing opinions, as well as broader insights.","author":[{"dropping-particle":"","family":"Agung","given":"I Gusti Ay Mahatma","non-dropping-particle":"","parse-names":false,"suffix":""},{"dropping-particle":"","family":"Skolastika","given":"I Made Perdana","non-dropping-particle":"","parse-names":false,"suffix":""},{"dropping-particle":"","family":"Widiantara","given":"Dewa Sang Made","non-dropping-particle":"","parse-names":false,"suffix":""}],"container-title":"JMM (Jurnal Masyarakat Mandiri)","id":"ITEM-1","issue":"4","issued":{"date-parts":[["2022"]]},"page":"3064","title":"Peningkatan Motivasi Belajar Bahasa Inggris Bagi Siswa Sma Dan Smk Melalui Program \"Mengabdi Padamu Negeri\"","type":"article-journal","volume":"6"},"uris":["http://www.mendeley.com/documents/?uuid=d7ab35bb-4b4a-4654-a274-30a512e19fff"]}],"mendeley":{"formattedCitation":"(Agung, Skolastika, and Widiantara 2022)","plainTextFormattedCitation":"(Agung, Skolastika, and Widiantara 2022)","previouslyFormattedCitation":"(Agung, Skolastika, and Widiantara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(Agung, Skolastika, and Widiantara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7E4A64C2" w14:textId="77777777" w:rsidR="002D6064" w:rsidRDefault="00B17D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Currently, there is a prevalent issue regarding student learning motivation, specifically the tendency for students to become preoccupied with their own activities during the learning process. Based on the signs of motivation to study in students given above, with this problem it can be said that motivation to learn among students is now still weak.</w:t>
      </w:r>
    </w:p>
    <w:p w14:paraId="07085DFE" w14:textId="37EC40CB" w:rsidR="002D6064" w:rsidRDefault="00B17D25" w:rsidP="00A05E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This can be noticed from the low motivation of some students to achieve in the learning process they are now participating in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{"citationItems":[{"id":"ITEM-1","itemData":{"abstract":"Motivasi belajar sangat berperan penting dalam pembelajaran. Motivasi belajar dalam diri siswa harus dipertahankan, karena tanpa adanya motivasi maka siswa juga tidak semangat dalam belajar. Fakta di lapangan menunjukkan, banyak dari kalangan siswa yang kurang tertarik dalam …","author":[{"dropping-particle":"","family":"Savitri","given":"Diva","non-dropping-particle":"","parse-names":false,"suffix":""}],"id":"ITEM-1","issued":{"date-parts":[["2019"]]},"number-of-pages":"1-100","publisher":"Institut Agama Islam Negeri Ponorog","title":"Pengaruh Kepribadian dan Kecerdasan Emosional Terhadap Motivasi Belajar PAI Siswa Kelas X SMAN 1 Ponorogo Tahun Ajaran 2018/2019","type":"thesis"},"uris":["http://www.mendeley.com/documents/?uuid=026aa79f-5276-44ba-81ee-2834cd902ca0"]}],"mendeley":{"formattedCitation":"(Savitri 2019)","plainTextFormattedCitation":"(Savitri 2019)","previouslyFormattedCitation":"(Savitri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(Savitri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Personality competency has a tremendous influence on the personal growth and development of students. This personality competency has a very crucial role and function in forming students' personalities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{"citationItems":[{"id":"ITEM-1","itemData":{"author":[{"dropping-particle":"","family":"Wulandari","given":"Dinda Arum","non-dropping-particle":"","parse-names":false,"suffix":""}],"id":"ITEM-1","issued":{"date-parts":[["2022"]]},"number-of-pages":"1-152","publisher":"Universitas Islam Negeri Walisongo Semarang","title":"Kompetensi Kepribadian dan Sosial Guru Mata Pelajaran PAI Kelas VII SMP Negeri 3 Pemalang","type":"thesis"},"uris":["http://www.mendeley.com/documents/?uuid=3d72303a-ff27-44d1-9271-cfb95c3459dd"]}],"mendeley":{"formattedCitation":"(Wulandari 2022)","plainTextFormattedCitation":"(Wulandari 2022)","previouslyFormattedCitation":"(Wulandari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(Wulandari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Personality is the behavior presented in the social environment, the image about oneself that one desires to be caught by the social environment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{"citationItems":[{"id":"ITEM-1","itemData":{"ISSN":"XXXX-XXXX","abstract":"Article Info ABSTRACT Article history: Received Revised Accepted This paper is written with the aim of explaining the notion of personality and emotion, but in the discussion, it explains the emotional phenomenon symbolized in social media as information technology develops and almost everyone socializes using devices. The writing method uses Microsoft Word and journal templates. Mendeley's app is used for citation and APA 7th (American Psychological Association 7th edition) as reference style. The data for the discussion of papers are obtained from primary and secondary data from books and journals of international and national reputation. The results of writing this paper, personality and emotions are things that must be guarded wisely so as not to cause misunderstanding and offense in social media because it is influenced by several factors, including: social, educational level, age, gender, topic presented, areas with social status. , education levels, and different ages are very prone to misinterpretation / meaning. And it often happens in social media that it's easy to share symbols or images that don't necessarily know the meaning or meaning of these symbols or images, so gossip, ghibah and slander occur.","author":[{"dropping-particle":"","family":"Ansori","given":"Aan","non-dropping-particle":"","parse-names":false,"suffix":""}],"container-title":"Jurnal Literasi Pendidikan Nusantara","id":"ITEM-1","issue":"1","issued":{"date-parts":[["2020"]]},"page":"41-54","title":"Kepribadian dan Emosi","type":"article-journal","volume":"1"},"uris":["http://www.mendeley.com/documents/?uuid=dc6a6b39-13a9-4ff8-9627-f131b187ac33"]}],"mendeley":{"formattedCitation":"(Ansori 2020)","plainTextFormattedCitation":"(Ansori 2020)","previouslyFormattedCitation":"(Ansori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(Ansori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Personality is the complete capacity for individual behavior which is determined by inherited and environmental influences, these two components are associated with each other</w:t>
      </w:r>
      <w:r>
        <w:rPr>
          <w:rFonts w:ascii="Times New Roman" w:hAnsi="Times New Roman" w:cs="Times New Roman"/>
          <w:sz w:val="24"/>
          <w:szCs w:val="24"/>
          <w:lang w:val="id-ID"/>
        </w:rPr>
        <w:t xml:space="preserve">. </w:t>
      </w:r>
      <w:r>
        <w:rPr>
          <w:rFonts w:ascii="Times New Roman" w:hAnsi="Times New Roman" w:cs="Times New Roman"/>
          <w:sz w:val="24"/>
          <w:szCs w:val="24"/>
        </w:rPr>
        <w:t>Apart from these two characteristics, personality can also predict whether a student will be a good student or vice versa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{"citationItems":[{"id":"ITEM-1","itemData":{"DOI":"10.30868/ppai.v1i1B.331","ISSN":"2654-3753","abstract":"Personality is an important factor for the success of a student in the learning process. Planting good habits as early as possible is very important for students. Teachers are people who have an important role in a school, especially Islamic Religious Education teachers who are educators and are directly responsible for moral guidance and the cultivation of legal norms about good and responsible. In this study aims to determine the role, method, supporting factors and inhibiting factors of Islamic Religious Education teachers in shaping the personality of students of SMK Al-Bana. The approach used is qualitative with a case study research method, through data collection techniques with observation, interviews, and documentation analysis. The results and conclusions of the study show that in shaping the personality of students of SMK Al-Bana Cilebut Bogor is carried out intensively every day and continuously. Islamic Religious Education Teachers play a role as supervisors, mentors, role models and punishment and reward. The method used is the question and answer method, discussion, lecture, and example. Supporting factors are learning media facilities such as using LCD projectors, textbooks, and LKS books that are already available in the School. And the inhibiting factor is in the personality of each student who does not pay attention to the teacher during the learning process.","author":[{"dropping-particle":"","family":"Hidayat","given":"Rahmat","non-dropping-particle":"","parse-names":false,"suffix":""},{"dropping-particle":"","family":"Sarbini","given":"M","non-dropping-particle":"","parse-names":false,"suffix":""},{"dropping-particle":"","family":"Maulida","given":"Ali","non-dropping-particle":"","parse-names":false,"suffix":""}],"container-title":"Prosiding Al Hidayah Pendidikan Agama Islam","id":"ITEM-1","issue":"1B","issued":{"date-parts":[["2022"]]},"page":"146-157","title":"Peran Guru Pendidikan Agama Islam dan Budi Pekeri dalam Membentuk Kepribadian Siswa SMK Al-Bana Cilebut Bogor","type":"article-journal","volume":"1"},"uris":["http://www.mendeley.com/documents/?uuid=84bd2077-650c-4988-bcf1-282e461dd70c"]}],"mendeley":{"formattedCitation":"(R. Hidayat, Sarbini, and Maulida 2022)","plainTextFormattedCitation":"(R. Hidayat, Sarbini, and Maulida 2022)","previouslyFormattedCitation":"(R. Hidayat, Sarbini, and Maulida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(R. Hidayat, Sarbini, and Maulida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Personality is tremendously influential in his learning activities and how he digests and captures the material supplied by the teacher. For this reason, it is vital to know the student's personality type, so that the instructor or student themselves can easily optimize personal transformation in a better and positive direction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{"citationItems":[{"id":"ITEM-1","itemData":{"DOI":"10.47065/bits.v3i3.1045","ISSN":"2684-8910","abstract":"In the world of education knowing the personality type of students is very important. This is because a person's personality is influential in his learning activities and how he digests and captures the material presented by the teacher. For this reason, knowing the classification of students' personalities needs to be identified so that teachers or students themselves can optimize self-change in a better and positive direction. This study aims to develop a psychological classification system for student personality types using the C.45 decision tree algorithm. The personality type used as a class in the classification is based on psychology, including: Sanguine, Phlegmatic, Choleric and Melancholic. In this study, a web-based system was developed, so that it is easy to use for teachers and students to recognize the personality of these students. To determine the personality of students psychologically, students answer questions in the system, then the system will classify based on the answers from these students. The C.45 decision tree algorithm serves to find knowledge or patterns of characteristic similarity in a particular group or class. From the test results, the pecision value is 90%, the recall is 85% and the accuracy is 88%. This shows that the C.45 decision tree algorithm can perform personality type classification well","author":[{"dropping-particle":"","family":"Nuraini","given":"Rini","non-dropping-particle":"","parse-names":false,"suffix":""},{"dropping-particle":"","family":"Hakim","given":"Rosyid Ridlo","non-dropping-particle":"Al","parse-names":false,"suffix":""},{"dropping-particle":"","family":"Lisnawati","given":"Tuti","non-dropping-particle":"","parse-names":false,"suffix":""},{"dropping-particle":"","family":"Fariati","given":"Wieke Tsanya","non-dropping-particle":"","parse-names":false,"suffix":""}],"container-title":"Building of Informatics, Technology and Science (BITS)","id":"ITEM-1","issue":"3","issued":{"date-parts":[["2021"]]},"page":"220-227","title":"Pengembangan Sistem Klasifikasi Tipe Kepribadian Siswa Secara Psikologis dengan Algoritma Decision Tree C.45","type":"article-journal","volume":"3"},"uris":["http://www.mendeley.com/documents/?uuid=42f4e022-cd41-4523-ac5c-451a90dba148"]}],"mendeley":{"formattedCitation":"(Nuraini et al. 2021)","plainTextFormattedCitation":"(Nuraini et al. 2021)","previouslyFormattedCitation":"(Nuraini et al.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(Nuraini et al.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This student's personality must nurture a sense of self-confidence so that they become humans who are able to know themselves, specifically persons who have a stable and independent personality</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{"citationItems":[{"id":"ITEM-1","itemData":{"DOI":"10.33650/edureligia.v3i1.903","abstract":"In the world of formal education, the teacher is an important part of the success of students. In this country education serves to educate the nation which aims to develop the potential of students while at the same time becoming a man of faith and devotion to God, mastering science and technology as stated in Law no. 20 of 2003. In this study using qualitative research methods. The results of the study show that the efforts made by PAI teachers in improving students' cognitive and personality competencies include initiatives to create learning forums outside school hours, advise, and direct students to study in the library. Then, the average cognitive ability of students is good. And, in terms of personality students have good personalities such as honesty, politeness, and exemplary it's just not prominent. In order for students to have good personalities, the teacher invites students to pray in the congregation at the mosque, provide knowledge and understanding such as advice and if wrong then given a law that educates, tells the stories of prophets, friends and scholars. From the efforts made by the teacher, there are factors that support such as the teacher having competence, the convenient location of the school and the school infrastructure facilities are adequate while the obstacles are the environment, student association, family problems, and the surrounding community, as well as the current technology.","author":[{"dropping-particle":"","family":"Rumondor","given":"Prasetio","non-dropping-particle":"","parse-names":false,"suffix":""},{"dropping-particle":"","family":"Nailil","given":"Maslukiyah","non-dropping-particle":"","parse-names":false,"suffix":""}],"container-title":"Edureliga: Jurnal Pendidikan Agama Islam","id":"ITEM-1","issue":"1","issued":{"date-parts":[["2019"]]},"page":"41-58","title":"Upaya Guru PAI dalam Meningkatkan Kompetensi Kognitif dan Kepribadian Siswa Di MTs Negeri 1 Bongkudai","type":"article-journal","volume":"3"},"uris":["http://www.mendeley.com/documents/?uuid=0b82e106-0802-4d1c-afa2-687486c6ecec"]}],"mendeley":{"formattedCitation":"(Rumondor and Nailil 2019)","plainTextFormattedCitation":"(Rumondor and Nailil 2019)","previouslyFormattedCitation":"(Rumondor and Nailil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(Rumondor and Nailil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Personality is produced, maintained and modified if a person encounters</w:t>
      </w:r>
      <w:r w:rsidR="00A05EB2">
        <w:rPr>
          <w:rFonts w:ascii="Times New Roman" w:hAnsi="Times New Roman" w:cs="Times New Roman"/>
          <w:sz w:val="24"/>
          <w:szCs w:val="24"/>
        </w:rPr>
        <w:t xml:space="preserve"> </w:t>
      </w:r>
      <w:r>
        <w:rPr>
          <w:rFonts w:ascii="Times New Roman" w:hAnsi="Times New Roman" w:cs="Times New Roman"/>
          <w:sz w:val="24"/>
          <w:szCs w:val="24"/>
        </w:rPr>
        <w:t>a powerful</w:t>
      </w:r>
      <w:r w:rsidR="00A05EB2">
        <w:rPr>
          <w:rFonts w:ascii="Times New Roman" w:hAnsi="Times New Roman" w:cs="Times New Roman"/>
          <w:sz w:val="24"/>
          <w:szCs w:val="24"/>
        </w:rPr>
        <w:t xml:space="preserve"> </w:t>
      </w:r>
      <w:r>
        <w:rPr>
          <w:rFonts w:ascii="Times New Roman" w:hAnsi="Times New Roman" w:cs="Times New Roman"/>
          <w:sz w:val="24"/>
          <w:szCs w:val="24"/>
        </w:rPr>
        <w:t>socialization process (experience)</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{"citationItems":[{"id":"ITEM-1","itemData":{"DOI":"10.35912/jahidik.v1i1.226","abstract":"Abstract Purpose: This study aimed to determine the extent of the influence of gadgets on elementary school children, especially in the aspect of personality, as well as how parents' efforts in providing supervision and direction for their children. Research methodology: This type of research is qualitative with the case study method. The instruments used were observation, interviews, and documentation. Meanwhile, for data analysis, researchers used descriptive-analytic techniques. The data analyzed is then tested for validity using the credibility, transferability, dependability, and confirmability tests. Results: The results of this study indicate that there is an effect of gadgets on children's personalities, including temperament, indifference, a fast-developing mindset without appropriate stages, love to share, and be creative. Limitations: This research is far from perfect; the author realizes that there are limitations in the research process, one of which is that the subject and object of research are only taken within the scope of the family. Contribution: This research is expected to be useful in the world of education, especially educators and the family environment as a reference in implementing digital parenting for their children. Keywords: Gadgets, Personality, Children, Parents","author":[{"dropping-particle":"","family":"Hidayat","given":"Fahrul","non-dropping-particle":"","parse-names":false,"suffix":""},{"dropping-particle":"","family":"Hernisawati","given":"Hernisawati","non-dropping-particle":"","parse-names":false,"suffix":""},{"dropping-particle":"","family":"Maba","given":"Aprezo Pardodi","non-dropping-particle":"","parse-names":false,"suffix":""}],"container-title":"Jurnal Hernisawati Maba, Aprezo PardodiHumaniora dan Ilmu Pendidikan","id":"ITEM-1","issue":"1","issued":{"date-parts":[["2021"]]},"page":"1-13","title":"Dampak Penggunaan Gadget Terhadap Kepribadian Anak Sekolah Dasar: Studi Kasus Pada Siswa 'X'","type":"article-journal","volume":"1"},"uris":["http://www.mendeley.com/documents/?uuid=4a3c98a2-6784-4bb2-8617-9a78b6e6aac2"]}],"mendeley":{"formattedCitation":"(F. Hidayat, Hernisawati, and Maba 2021)","plainTextFormattedCitation":"(F. Hidayat, Hernisawati, and Maba 2021)","previouslyFormattedCitation":"(F. Hidayat, Hernisawati, and Maba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(F. Hidayat, Hernisawati, and Maba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w:t>
      </w:r>
    </w:p>
    <w:p w14:paraId="670A81F5" w14:textId="7D7296B4" w:rsidR="002D6064" w:rsidRPr="00C341F6" w:rsidRDefault="00B17D25" w:rsidP="00A05EB2">
      <w:pPr>
        <w:pStyle w:val="NormalWeb"/>
        <w:spacing w:before="0" w:beforeAutospacing="0" w:after="0" w:afterAutospacing="0"/>
        <w:ind w:firstLine="567"/>
        <w:rPr>
          <w:color w:val="252525"/>
        </w:rPr>
      </w:pPr>
      <w:r>
        <w:t>Apart from personality that effects students' learning, there are also other elements, notably students' talents in learning. The capacity to read is a talent that plays a significant role and may be mastered by someone, because through the ability to read they can improve and understand what they have read. Apart from that, reading is also part of the educational process to improve one's potential so that one has the ability to think effectively in academic performance. But fundamentally reading is also a really boring thing for people who</w:t>
      </w:r>
      <w:r w:rsidR="00C341F6" w:rsidRPr="00C341F6">
        <w:rPr>
          <w:color w:val="252525"/>
        </w:rPr>
        <w:t xml:space="preserve"> </w:t>
      </w:r>
      <w:r w:rsidR="00C341F6">
        <w:rPr>
          <w:color w:val="252525"/>
        </w:rPr>
        <w:t>dislike reading and lack enthusiasm for reading.</w:t>
      </w:r>
      <w:r w:rsidR="00C341F6">
        <w:t xml:space="preserve"> </w:t>
      </w:r>
      <w:r>
        <w:t>Because reading is not just about reading, you also need abilities to be able to absorb the explanation of something you read</w:t>
      </w:r>
      <w:r>
        <w:rPr>
          <w:lang w:val="id-ID"/>
        </w:rPr>
        <w:t xml:space="preserve"> </w:t>
      </w:r>
      <w:r>
        <w:rPr>
          <w:lang w:val="id-ID"/>
        </w:rPr>
        <w:fldChar w:fldCharType="begin" w:fldLock="1"/>
      </w:r>
      <w:r>
        <w:rPr>
          <w:lang w:val="id-ID"/>
        </w:rPr>
        <w:instrText>ADDIN CSL_CITATION {"citationItems":[{"id":"ITEM-1","itemData":{"DOI":"10.23887/jppp.v4i3.26874","ISSN":"1979-7109","abstract":"Tujuan dari penelitian ini adalah untuk menguji pengaruh media kartu kuartet terhadap kemampuan membaca siswa dalam pembelajaran Bahasa Indonesia kelas 2 SD Negeri 2 Argasari. Penelitian ini menggunakan metode eksperimen dengan desain penelitian ini adalah Pre – Eksperimental dengan bentuk desain One – Group Pre test – Post test Design, Populasi penelitian sebanyak 19 responden dan sampel sebanyak 19 orang. Pengambilan sampel dengan quota sampling. Pengumpulan data melalui lembar wawancara dan test, pengolahan data kuantitatif diselesaikan melalui pengolahan data deskriptif dengan uji hipotesis.  Hasil penelitian tentang kemampuan membaca siswa pada mata pelajaran bahasa Indonesia dengan menggunakan media kartu kuartet terdapat perbedaan dan peningkatan rata-rata kemampuan membaca siswa sebelum dan sesudah perlakuan. Dengan nilai signifikansi 0,003 &lt; 0,05 sehingga hipotesis diterima","author":[{"dropping-particle":"","family":"Sulastri","given":"Hemas Maya","non-dropping-particle":"","parse-names":false,"suffix":""},{"dropping-particle":"","family":"Saleh","given":"Yopa Taufik","non-dropping-particle":"","parse-names":false,"suffix":""},{"dropping-particle":"","family":"Sunanih","given":"Sunanih","non-dropping-particle":"","parse-names":false,"suffix":""}],"container-title":"Jurnal Penelitian dan Pengembangan Pendidikan","id":"ITEM-1","issue":"3","issued":{"date-parts":[["2020"]]},"page":"486","title":"Pengaruh Media Kartu Kuartet Terhadap Kemampuan Membaca Siswa Dalam Pelajaran Bahasa Indonesia","type":"article-journal","volume":"4"},"uris":["http://www.mendeley.com/documents/?uuid=c58b0312-26c4-4073-b610-8ba897c6e795"]}],"mendeley":{"formattedCitation":"(Sulastri, Saleh, and Sunanih 2020)","plainTextFormattedCitation":"(Sulastri, Saleh, and Sunanih 2020)","previouslyFormattedCitation":"(Sulastri, Saleh, and Sunanih 2020)"},"properties":{"noteIndex":0},"schema":"https://github.com/citation-style-language/schema/raw/master/csl-citation.json"}</w:instrText>
      </w:r>
      <w:r>
        <w:rPr>
          <w:lang w:val="id-ID"/>
        </w:rPr>
        <w:fldChar w:fldCharType="separate"/>
      </w:r>
      <w:r>
        <w:rPr>
          <w:lang w:val="id-ID"/>
        </w:rPr>
        <w:t>(Sulastri, Saleh, and Sunanih 2020)</w:t>
      </w:r>
      <w:r>
        <w:rPr>
          <w:lang w:val="id-ID"/>
        </w:rPr>
        <w:fldChar w:fldCharType="end"/>
      </w:r>
      <w:r>
        <w:rPr>
          <w:lang w:val="id-ID"/>
        </w:rPr>
        <w:t>.</w:t>
      </w:r>
      <w:r>
        <w:t xml:space="preserve"> Reading is a priority component because it is the gateway to acquiring numerous scientific concepts at school</w:t>
      </w:r>
      <w:r>
        <w:rPr>
          <w:lang w:val="id-ID"/>
        </w:rPr>
        <w:t xml:space="preserve"> </w:t>
      </w:r>
      <w:r>
        <w:rPr>
          <w:lang w:val="id-ID"/>
        </w:rPr>
        <w:fldChar w:fldCharType="begin" w:fldLock="1"/>
      </w:r>
      <w:r>
        <w:rPr>
          <w:lang w:val="id-ID"/>
        </w:rPr>
        <w:instrText>ADDIN CSL_CITATION {"citationItems":[{"id":"ITEM-1","itemData":{"abstract":"Penelitian ini merupakan penelitian pustaka yang dilakukan dengan metode dokumentasi yang bertujuan untuk mengetahui sejauh mana peran yang dilakukan orang tua yang dapat memengaruhi kemampuan membaca siswa di tingkat sekolah dasar kelas 2. Yang menjadi subjek dalam penelitian ini adalah siswa dan orang tua siswa. Perkembangan kemampuan membaca siswa tidak lepas dari peran orang tua. Dimana orang tua merupakan salah satu faktor yang sangat berpengaruh bagi perkembangan siswa terutama dalam hal ini adalah kemampuan membaca. Siswa memiliki kemampuan membaca yang baik dan memadai jika mendapatkan motivasi dan dorongan dari orang tua. Ketika siswa memiliki peluang untuk berkembang, memiliki antusias yang tinggi dalam belajar, namun karena kurangnya dukungan dari orang tua akan menyebabkan kurang berkembangnya kemampuan siswa, terutama dalam hal membaca. Karena membaca merupakan jendela dunia, diharapkan orang tua mampu memberikan dukungan untuk mereka berkembang dengan baik.","author":[{"dropping-particle":"","family":"Kurniawati","given":"Unik","non-dropping-particle":"","parse-names":false,"suffix":""}],"container-title":"Jurnal of Education, Psychology and Counseling","id":"ITEM-1","issue":"1","issued":{"date-parts":[["2020"]]},"page":"40-50","title":"Peran Orang Tua Terhadap Kemampuan Membaca Siswa Kelas 2 SD","type":"article-journal","volume":"2"},"uris":["http://www.mendeley.com/documents/?uuid=2c20852e-ac67-45f7-9cee-c3efdbfa4db1"]}],"mendeley":{"formattedCitation":"(Kurniawati 2020)","plainTextFormattedCitation":"(Kurniawati 2020)","previouslyFormattedCitation":"(Kurniawati 2020)"},"properties":{"noteIndex":0},"schema":"https://github.com/citation-style-language/schema/raw/master/csl-citation.json"}</w:instrText>
      </w:r>
      <w:r>
        <w:rPr>
          <w:lang w:val="id-ID"/>
        </w:rPr>
        <w:fldChar w:fldCharType="separate"/>
      </w:r>
      <w:r>
        <w:rPr>
          <w:lang w:val="id-ID"/>
        </w:rPr>
        <w:t>(Kurniawati 2020)</w:t>
      </w:r>
      <w:r>
        <w:rPr>
          <w:lang w:val="id-ID"/>
        </w:rPr>
        <w:fldChar w:fldCharType="end"/>
      </w:r>
      <w:r>
        <w:rPr>
          <w:lang w:val="id-ID"/>
        </w:rPr>
        <w:t>.</w:t>
      </w:r>
      <w:r>
        <w:t xml:space="preserve"> If a person conducts a lot of reading activities, he will naturally grow his vocabulary, increase his knowledge, train his speaking apparatus, train his thinking power, and will also be able </w:t>
      </w:r>
      <w:r w:rsidR="00C341F6">
        <w:rPr>
          <w:color w:val="252525"/>
        </w:rPr>
        <w:t xml:space="preserve">to react to what he has read in terms of content </w:t>
      </w:r>
      <w:r>
        <w:rPr>
          <w:lang w:val="id-ID"/>
        </w:rPr>
        <w:fldChar w:fldCharType="begin" w:fldLock="1"/>
      </w:r>
      <w:r>
        <w:rPr>
          <w:lang w:val="id-ID"/>
        </w:rPr>
        <w:instrText>ADDIN CSL_CITATION {"citationItems":[{"id":"ITEM-1","itemData":{"DOI":"10.31004/edukatif.v4i4.3298","ISSN":"2656-8063","abstract":"Pemahaman termasuk dalam aspek membaca yang sangat penting pada kegiatan membaca, Jadi, tujuan dari membaca adalah pemahaman bukan kecepatan, dan kemampuan membaca merupakan kemampuan dalam memahami bahan bacaan. Tujuan dari penelitian ini adalah untuk mengetahui kemampuan membaca pemahaman siswa dan juga hambatan yang dialami siswa dalam membaca pemahaman. Metode penelitian yang digunakan ialah kualitatif dengan pendekatan deskriptif. Teknik pengumpulan data yang digunakan adalah observasi, tes dan wawancara. Hasil penelitian ini menunjukan bahwa kemampuan membaca pemahaman siswa berada di kategori cukup, dengan memperoleh nilai rata-rata 57. Adapun penyebab siswa mengalami hambatan dalam membaca pemahaman, yakni kurangnya motivasi dan minat, kebiasaan yang susah fokus, keadaan siswa yang tidak mempunyai banyak pegangan buku, dan sarana prasarana sekolah yang tidak begitu memadai.","author":[{"dropping-particle":"","family":"Ambarita","given":"Rahel Sonia","non-dropping-particle":"","parse-names":false,"suffix":""},{"dropping-particle":"","family":"Wulan","given":"Neneng Sri","non-dropping-particle":"","parse-names":false,"suffix":""},{"dropping-particle":"","family":"Wahyudin","given":"D","non-dropping-particle":"","parse-names":false,"suffix":""}],"container-title":"Edukatif : Jurnal Ilmu Pendidikan","id":"ITEM-1","issue":"4","issued":{"date-parts":[["2022"]]},"page":"5573-5581","title":"Analisis Kemampuan Membaca Pemahaman pada Siswa Sekolah Dasar","type":"article-journal","volume":"4"},"uris":["http://www.mendeley.com/documents/?uuid=00bb087f-ab36-4490-9874-5d4d439d6875"]}],"mendeley":{"formattedCitation":"(Ambarita, Wulan, and Wahyudin 2022)","plainTextFormattedCitation":"(Ambarita, Wulan, and Wahyudin 2022)","previouslyFormattedCitation":"(Ambarita, Wulan, and Wahyudin 2022)"},"properties":{"noteIndex":0},"schema":"https://github.com/citation-style-language/schema/raw/master/csl-citation.json"}</w:instrText>
      </w:r>
      <w:r>
        <w:rPr>
          <w:lang w:val="id-ID"/>
        </w:rPr>
        <w:fldChar w:fldCharType="separate"/>
      </w:r>
      <w:r>
        <w:rPr>
          <w:lang w:val="id-ID"/>
        </w:rPr>
        <w:t>(Ambarita, Wulan, and Wahyudin 2022)</w:t>
      </w:r>
      <w:r>
        <w:rPr>
          <w:lang w:val="id-ID"/>
        </w:rPr>
        <w:fldChar w:fldCharType="end"/>
      </w:r>
      <w:r>
        <w:rPr>
          <w:lang w:val="id-ID"/>
        </w:rPr>
        <w:t>.</w:t>
      </w:r>
      <w:r>
        <w:t xml:space="preserve"> Another definition of reading is the practice of interacting with language that has been encoded in writing. This </w:t>
      </w:r>
      <w:r>
        <w:lastRenderedPageBreak/>
        <w:t>contact must yield understanding (of the meaning contained in the target text). The reader is met with words, phrases, sentences, and visual media that complement them, and make a whole book with a coherent writing structure. Therefore, there should be support from teachers and parents to encourage children to learn to read and turn students into children who love to read</w:t>
      </w:r>
      <w:r>
        <w:rPr>
          <w:lang w:val="id-ID"/>
        </w:rPr>
        <w:t xml:space="preserve"> </w:t>
      </w:r>
      <w:r>
        <w:rPr>
          <w:lang w:val="id-ID"/>
        </w:rPr>
        <w:fldChar w:fldCharType="begin" w:fldLock="1"/>
      </w:r>
      <w:r>
        <w:rPr>
          <w:lang w:val="id-ID"/>
        </w:rPr>
        <w:instrText>ADDIN CSL_CITATION {"citationItems":[{"id":"ITEM-1","itemData":{"DOI":"10.32332/elementary.v4i2.1241","ISSN":"2477-1384","abstract":"The purpose of this reaserch is to find out how the teacher's efforts in developing beginning reading and writing skill of first grade students. This study also aims to determine what obstacles faced by teachers in developing beginning reading and writing skill of first grade students. The method used in this research is descriptive qualitative research method where data collection using interview technique, observation and documentation. In this study the authors interviewed several sources including: the headmaster of MI Nurul Falah Suradita and two teachers of MI Nurul Falah Suradita. The result of the research shows that the teacher's effort in developing beginning reading and writing skill in the first class is by giving additional tutorial, giving the reading book, using the study time well, dictating the students, using Spell reading method and reading fluently, giving motivation, giving reward, giving guidance and supervision, bringing to the library and assessing. And the obstacles of teachers in developing beginning reading and writing skill are less conducive learning and limited textbooks.","author":[{"dropping-particle":"","family":"Fauziah","given":"Herisfani","non-dropping-particle":"","parse-names":false,"suffix":""}],"container-title":"Elementary: Jurnal Ilmiah Pendidikan Dasar","id":"ITEM-1","issue":"2","issued":{"date-parts":[["2018"]]},"page":"173","title":"Upaya Guru Dalam Mengembangkan Kemampuan Membaca Menulis Permulaan Siswa Kelas I Mi","type":"article-journal","volume":"4"},"uris":["http://www.mendeley.com/documents/?uuid=9172ce67-0283-4d65-bdc9-4b2bfd6790ad"]}],"mendeley":{"formattedCitation":"(Fauziah 2018)","plainTextFormattedCitation":"(Fauziah 2018)","previouslyFormattedCitation":"(Fauziah 2018)"},"properties":{"noteIndex":0},"schema":"https://github.com/citation-style-language/schema/raw/master/csl-citation.json"}</w:instrText>
      </w:r>
      <w:r>
        <w:rPr>
          <w:lang w:val="id-ID"/>
        </w:rPr>
        <w:fldChar w:fldCharType="separate"/>
      </w:r>
      <w:r>
        <w:rPr>
          <w:lang w:val="id-ID"/>
        </w:rPr>
        <w:t>(Fauziah 2018)</w:t>
      </w:r>
      <w:r>
        <w:rPr>
          <w:lang w:val="id-ID"/>
        </w:rPr>
        <w:fldChar w:fldCharType="end"/>
      </w:r>
      <w:r>
        <w:rPr>
          <w:lang w:val="id-ID"/>
        </w:rPr>
        <w:t>.</w:t>
      </w:r>
    </w:p>
    <w:p w14:paraId="1928860C" w14:textId="5CFD7665" w:rsidR="002D6064" w:rsidRDefault="00B17D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the context of the topic stated by the researcher, the researcher wishes to know </w:t>
      </w:r>
      <w:r w:rsidR="00C341F6" w:rsidRPr="00C341F6">
        <w:rPr>
          <w:rFonts w:ascii="Times New Roman" w:hAnsi="Times New Roman" w:cs="Times New Roman"/>
          <w:sz w:val="24"/>
          <w:szCs w:val="24"/>
        </w:rPr>
        <w:t xml:space="preserve">the impact </w:t>
      </w:r>
      <w:r>
        <w:rPr>
          <w:rFonts w:ascii="Times New Roman" w:hAnsi="Times New Roman" w:cs="Times New Roman"/>
          <w:sz w:val="24"/>
          <w:szCs w:val="24"/>
        </w:rPr>
        <w:t>of personality and learning motivation on students' English reading abilities. Several research have been undertaken to determine motivation for learning English. For example, study</w:t>
      </w:r>
      <w:r>
        <w:rPr>
          <w:rFonts w:ascii="Times New Roman" w:hAnsi="Times New Roman" w:cs="Times New Roman"/>
          <w:sz w:val="24"/>
          <w:szCs w:val="24"/>
          <w:lang w:val="id-ID"/>
        </w:rPr>
        <w:t xml:space="preserve"> Munthe and Panjaitan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{"citationItems":[{"id":"ITEM-1","itemData":{"DOI":"10.24114/jtp.v9i1.4891","ISSN":"1979-6692","abstract":"Abstrak:Penelitian ini bertujuan untuk mengetahui: (1) hasil belajar Bahasa Inggris siswa yang diajar dengan strategi pembelajaran Quantum dibandingkan dengan siswa yang diajar dengan strategi pembelajaran ekspositori; (2) hasil belajar Bahasa Inggris siswa yang memiliki Motivasi berprestasi tinggi dengan hasil belajar siswa yang memiliki Motivasi berprestasi rendah; (3) ada tidaknya interaksi antara strategi pembelajaran dan Motivasi berprestasi siswa terhadap hasil belajar Bahasa Inggris.Metode penelitian yang digunakan adalah kuasi eksperimen dengan desain faktorial 2 x 2. Uji statistik yang digunakan adalah statistik deskriptif untuk menyajikan data dan dilanjutkan dengan statistik inferensial dengan menggunakan ANAVA dua jalur dengan taraf signifikan α = 0,05 yang dilanjutkan dengan uji Scheffe. Sebelumnya dilakukan uji analisis berupa uji nornalitas dan uji homogenitas.Hasil penelitian menunjukkan: (1) hasil belajar Bahasa Inggris siswa yang diajarkan dengan strategi pembelajaran Quantum lebih tinggi dari pada hasil belajar Bahasa Inggris siswa yang diajarkan dengan strategi pembelajaran ekspositori; (2) hasil belajar Bahasa Inggris siswa yang memiliki Motivasi berprestasi tinggi lebih tinggi dari pada hasil belajar Bahasa Inggris siswa yang memiliki Motivasi berprestasi rendah; (3) terdapat interaksi antara strategi pembelajaran dengan Motivasi berprestasi dalam mempengaruhi hasil belajar siswa. Kata Kunci:strategi pembelajaran, motivasi berprestasi, membaca teks naratif bahasa inggris Abstract: This study aims to determine: (1) the results of English learning students who are taught by Quantum learning strategies than students taught by expository strategy; (2) the results of English learning students who have high achievement motivation with learning outcomes of students who have low achievement motivation; (3) whether there is interaction between the learning strategies and achievement motivation of students to learn English results. The method used is a quasi-experimental design with 2 x 2 factorial statistical test used is descriptive statistics to present data and continued with inferential statistics by using ANOVA two paths with significance level α = 0.05, followed by Scheffe test. Previous test analysis form nornalitas test and homogeneity test. The results showed: (1) the results of English learning students taught with instructional strategies Quantum higher than the results of English learning students taught by expository strategy; …","author":[{"dropping-particle":"","family":"Munthe","given":"Rika Syahmewah","non-dropping-particle":"","parse-names":false,"suffix":""},{"dropping-particle":"","family":"Panjaitan","given":"Keysar","non-dropping-particle":"","parse-names":false,"suffix":""}],"container-title":"Jurnal Teknologi Pendidikan (JTP)","id":"ITEM-1","issue":"1","issued":{"date-parts":[["2016"]]},"page":"51-63","title":"Pengaruh Strategi Pembelajaran dan Motivasi Berprestasi terhadap Kemampuan Membaca Teks Naratif Bahasa Inggris Siswa SMP Negeri di Kabupaten Labura","type":"article-journal","volume":"9"},"suppress-author":1,"uris":["http://www.mendeley.com/documents/?uuid=d71585ad-aa38-498a-891f-f83d269b3ebd"]}],"mendeley":{"formattedCitation":"(2016)","plainTextFormattedCitation":"(2016)","previouslyFormattedCitation":"(Munthe and Panjaitan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(2016)</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done in junior high schools in Labura district in 2016 </w:t>
      </w:r>
      <w:r w:rsidR="00842190" w:rsidRPr="00842190">
        <w:rPr>
          <w:rFonts w:ascii="Times New Roman" w:hAnsi="Times New Roman" w:cs="Times New Roman"/>
          <w:sz w:val="24"/>
          <w:szCs w:val="24"/>
        </w:rPr>
        <w:t>discovered that the various learning strategies interacted with one another</w:t>
      </w:r>
      <w:r w:rsidR="00842190">
        <w:rPr>
          <w:rFonts w:ascii="Times New Roman" w:hAnsi="Times New Roman" w:cs="Times New Roman"/>
          <w:sz w:val="24"/>
          <w:szCs w:val="24"/>
        </w:rPr>
        <w:t xml:space="preserve"> </w:t>
      </w:r>
      <w:r>
        <w:rPr>
          <w:rFonts w:ascii="Times New Roman" w:hAnsi="Times New Roman" w:cs="Times New Roman"/>
          <w:sz w:val="24"/>
          <w:szCs w:val="24"/>
        </w:rPr>
        <w:t>and Achievement Motivation on English learning outcomes. There was a difference in points for kids who had high Achievement Motivation who were taught with the Quantum Learning Strategy got superior English learning results than students who had Low Achievement Motivation who studied using the Expositor Strategy. This research is distinct from earlier research.</w:t>
      </w:r>
    </w:p>
    <w:p w14:paraId="42AB3F5E" w14:textId="3D601250" w:rsidR="002D6064" w:rsidRDefault="00B17D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current study focuses at how successful the influence of students' personality and reading ability is to increase English learning, as well as the problems in learning English. This study also looks at the influence of personality and reading to boost kids' motivation to learn English at school. Researchers seek to find out influence personality with motivation to learn English and students' reading skills in learning English to go through this study. This research can be defined as the following </w:t>
      </w:r>
      <w:r w:rsidR="008C129F">
        <w:rPr>
          <w:rFonts w:ascii="Times New Roman" w:hAnsi="Times New Roman" w:cs="Times New Roman"/>
          <w:sz w:val="24"/>
          <w:szCs w:val="24"/>
        </w:rPr>
        <w:t>statement</w:t>
      </w:r>
      <w:r>
        <w:rPr>
          <w:rFonts w:ascii="Times New Roman" w:hAnsi="Times New Roman" w:cs="Times New Roman"/>
          <w:sz w:val="24"/>
          <w:szCs w:val="24"/>
        </w:rPr>
        <w:t>: 1) How does the personality affect students’ reading skills 2) How does the learning motivation affect students’ reading skills</w:t>
      </w:r>
      <w:r w:rsidR="008C129F">
        <w:rPr>
          <w:rFonts w:ascii="Times New Roman" w:hAnsi="Times New Roman" w:cs="Times New Roman"/>
          <w:sz w:val="24"/>
          <w:szCs w:val="24"/>
        </w:rPr>
        <w:t xml:space="preserve"> </w:t>
      </w:r>
      <w:r>
        <w:rPr>
          <w:rFonts w:ascii="Times New Roman" w:hAnsi="Times New Roman" w:cs="Times New Roman"/>
          <w:sz w:val="24"/>
          <w:szCs w:val="24"/>
        </w:rPr>
        <w:t xml:space="preserve">3) How interaction between the personality and learning motivation on pupils English reading </w:t>
      </w:r>
      <w:proofErr w:type="spellStart"/>
      <w:r>
        <w:rPr>
          <w:rFonts w:ascii="Times New Roman" w:hAnsi="Times New Roman" w:cs="Times New Roman"/>
          <w:sz w:val="24"/>
          <w:szCs w:val="24"/>
        </w:rPr>
        <w:t>skil</w:t>
      </w:r>
      <w:proofErr w:type="spellEnd"/>
    </w:p>
    <w:p w14:paraId="3EAADE27" w14:textId="77777777" w:rsidR="002D6064" w:rsidRDefault="002D6064">
      <w:pPr>
        <w:spacing w:after="0" w:line="240" w:lineRule="auto"/>
        <w:jc w:val="both"/>
        <w:rPr>
          <w:rFonts w:ascii="Times New Roman" w:hAnsi="Times New Roman" w:cs="Times New Roman"/>
          <w:sz w:val="24"/>
          <w:szCs w:val="24"/>
        </w:rPr>
      </w:pPr>
    </w:p>
    <w:p w14:paraId="3C195250" w14:textId="77777777" w:rsidR="002D6064" w:rsidRPr="001F7E08" w:rsidRDefault="00B17D25">
      <w:pPr>
        <w:spacing w:after="0" w:line="240" w:lineRule="auto"/>
        <w:jc w:val="both"/>
        <w:rPr>
          <w:rFonts w:ascii="Book Antiqua" w:hAnsi="Book Antiqua" w:cs="Times New Roman"/>
          <w:b/>
          <w:sz w:val="24"/>
          <w:szCs w:val="24"/>
          <w:lang w:val="zh-CN"/>
        </w:rPr>
      </w:pPr>
      <w:r w:rsidRPr="001F7E08">
        <w:rPr>
          <w:rFonts w:ascii="Book Antiqua" w:hAnsi="Book Antiqua" w:cs="Times New Roman"/>
          <w:b/>
          <w:sz w:val="24"/>
          <w:szCs w:val="24"/>
        </w:rPr>
        <w:t>Method</w:t>
      </w:r>
      <w:r w:rsidRPr="001F7E08">
        <w:rPr>
          <w:rFonts w:ascii="Book Antiqua" w:hAnsi="Book Antiqua" w:cs="Times New Roman"/>
          <w:b/>
          <w:sz w:val="24"/>
          <w:szCs w:val="24"/>
          <w:lang w:val="zh-CN"/>
        </w:rPr>
        <w:t xml:space="preserve"> </w:t>
      </w:r>
      <w:r w:rsidRPr="001F7E08">
        <w:rPr>
          <w:rFonts w:ascii="Book Antiqua" w:hAnsi="Book Antiqua" w:cs="Times New Roman"/>
          <w:b/>
          <w:sz w:val="24"/>
          <w:szCs w:val="24"/>
        </w:rPr>
        <w:t xml:space="preserve"> </w:t>
      </w:r>
    </w:p>
    <w:p w14:paraId="3277A03A" w14:textId="7FD2A76B"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This research employed the method of experiment method. </w:t>
      </w:r>
      <w:r>
        <w:rPr>
          <w:rFonts w:ascii="Times New Roman" w:hAnsi="Times New Roman"/>
          <w:bCs/>
          <w:sz w:val="24"/>
          <w:szCs w:val="24"/>
        </w:rPr>
        <w:t>The study was carried out at SMAN 1 Bojonegara.</w:t>
      </w:r>
      <w:r>
        <w:rPr>
          <w:rFonts w:ascii="Times New Roman" w:hAnsi="Times New Roman" w:cs="Times New Roman"/>
          <w:bCs/>
          <w:sz w:val="24"/>
          <w:szCs w:val="24"/>
        </w:rPr>
        <w:t xml:space="preserve"> The target population in this study were class XI students</w:t>
      </w:r>
      <w:r w:rsidR="00A05EB2">
        <w:rPr>
          <w:rFonts w:ascii="Times New Roman" w:hAnsi="Times New Roman" w:cs="Times New Roman"/>
          <w:bCs/>
          <w:sz w:val="24"/>
          <w:szCs w:val="24"/>
        </w:rPr>
        <w:t xml:space="preserve">, </w:t>
      </w:r>
      <w:r>
        <w:rPr>
          <w:rFonts w:ascii="Times New Roman" w:hAnsi="Times New Roman" w:cs="Times New Roman"/>
          <w:bCs/>
          <w:sz w:val="24"/>
          <w:szCs w:val="24"/>
        </w:rPr>
        <w:t>with a research sample of 68 students in the 2023/2024 school year</w:t>
      </w:r>
      <w:r>
        <w:rPr>
          <w:rFonts w:ascii="Times New Roman" w:hAnsi="Times New Roman" w:cs="Times New Roman"/>
          <w:bCs/>
          <w:sz w:val="24"/>
          <w:szCs w:val="24"/>
          <w:lang w:val="en-US"/>
        </w:rPr>
        <w:t xml:space="preserve">, </w:t>
      </w:r>
      <w:r>
        <w:rPr>
          <w:rFonts w:ascii="Times New Roman" w:hAnsi="Times New Roman" w:cs="Times New Roman"/>
          <w:bCs/>
          <w:sz w:val="24"/>
          <w:szCs w:val="24"/>
        </w:rPr>
        <w:t>which was divided into two groups, namely 34 students who have personality divided into two groups, namely 34 students who have introverted personality and 34 students who have introverted personality. Researchers picked XI MIPA 2, XI IPS 3 classes as sample groups. This research uses an experimental method with a 2x2 factorial design as follows:</w:t>
      </w:r>
    </w:p>
    <w:p w14:paraId="324AB0C1" w14:textId="77777777" w:rsidR="002D6064" w:rsidRDefault="00B17D25" w:rsidP="001F7E08">
      <w:pPr>
        <w:spacing w:after="0" w:line="360" w:lineRule="auto"/>
        <w:rPr>
          <w:rFonts w:ascii="Times New Roman" w:hAnsi="Times New Roman" w:cs="Times New Roman"/>
          <w:b/>
          <w:sz w:val="24"/>
          <w:szCs w:val="24"/>
        </w:rPr>
      </w:pPr>
      <w:r>
        <w:rPr>
          <w:rFonts w:ascii="Times New Roman" w:hAnsi="Times New Roman" w:cs="Times New Roman"/>
          <w:b/>
          <w:sz w:val="24"/>
          <w:szCs w:val="24"/>
        </w:rPr>
        <w:t>Table 1. Factorial Design 2x2</w:t>
      </w:r>
    </w:p>
    <w:tbl>
      <w:tblPr>
        <w:tblW w:w="5453" w:type="dxa"/>
        <w:jc w:val="center"/>
        <w:tblLayout w:type="fixed"/>
        <w:tblLook w:val="04A0" w:firstRow="1" w:lastRow="0" w:firstColumn="1" w:lastColumn="0" w:noHBand="0" w:noVBand="1"/>
      </w:tblPr>
      <w:tblGrid>
        <w:gridCol w:w="1893"/>
        <w:gridCol w:w="1275"/>
        <w:gridCol w:w="1276"/>
        <w:gridCol w:w="1009"/>
      </w:tblGrid>
      <w:tr w:rsidR="002D6064" w14:paraId="72740A0A" w14:textId="77777777">
        <w:trPr>
          <w:jc w:val="center"/>
        </w:trPr>
        <w:tc>
          <w:tcPr>
            <w:tcW w:w="1893" w:type="dxa"/>
            <w:vMerge w:val="restart"/>
            <w:tcBorders>
              <w:top w:val="single" w:sz="4" w:space="0" w:color="auto"/>
            </w:tcBorders>
            <w:shd w:val="clear" w:color="auto" w:fill="FFFFFF"/>
            <w:vAlign w:val="center"/>
          </w:tcPr>
          <w:p w14:paraId="766BB43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Personality (B)</w:t>
            </w:r>
          </w:p>
        </w:tc>
        <w:tc>
          <w:tcPr>
            <w:tcW w:w="3560" w:type="dxa"/>
            <w:gridSpan w:val="3"/>
            <w:tcBorders>
              <w:top w:val="single" w:sz="4" w:space="0" w:color="auto"/>
              <w:bottom w:val="single" w:sz="4" w:space="0" w:color="auto"/>
            </w:tcBorders>
            <w:shd w:val="clear" w:color="auto" w:fill="FFFFFF"/>
            <w:vAlign w:val="center"/>
          </w:tcPr>
          <w:p w14:paraId="1CEE064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Motivation (A)</w:t>
            </w:r>
          </w:p>
        </w:tc>
      </w:tr>
      <w:tr w:rsidR="002D6064" w14:paraId="6C82C080" w14:textId="77777777">
        <w:trPr>
          <w:jc w:val="center"/>
        </w:trPr>
        <w:tc>
          <w:tcPr>
            <w:tcW w:w="1893" w:type="dxa"/>
            <w:vMerge/>
            <w:tcBorders>
              <w:bottom w:val="single" w:sz="4" w:space="0" w:color="auto"/>
            </w:tcBorders>
            <w:shd w:val="clear" w:color="auto" w:fill="FFFFFF"/>
            <w:vAlign w:val="center"/>
          </w:tcPr>
          <w:p w14:paraId="68B21492" w14:textId="77777777" w:rsidR="002D6064" w:rsidRPr="00A05EB2" w:rsidRDefault="002D6064">
            <w:pPr>
              <w:spacing w:after="0" w:line="240" w:lineRule="auto"/>
              <w:jc w:val="center"/>
              <w:rPr>
                <w:rFonts w:ascii="Times New Roman" w:hAnsi="Times New Roman" w:cs="Times New Roman"/>
                <w:b/>
              </w:rPr>
            </w:pPr>
          </w:p>
        </w:tc>
        <w:tc>
          <w:tcPr>
            <w:tcW w:w="1275" w:type="dxa"/>
            <w:tcBorders>
              <w:top w:val="single" w:sz="4" w:space="0" w:color="auto"/>
              <w:bottom w:val="single" w:sz="4" w:space="0" w:color="auto"/>
            </w:tcBorders>
            <w:shd w:val="clear" w:color="auto" w:fill="FFFFFF"/>
            <w:vAlign w:val="center"/>
          </w:tcPr>
          <w:p w14:paraId="12CC1775"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High (A1)</w:t>
            </w:r>
          </w:p>
        </w:tc>
        <w:tc>
          <w:tcPr>
            <w:tcW w:w="1276" w:type="dxa"/>
            <w:tcBorders>
              <w:top w:val="single" w:sz="4" w:space="0" w:color="auto"/>
              <w:bottom w:val="single" w:sz="4" w:space="0" w:color="auto"/>
            </w:tcBorders>
            <w:shd w:val="clear" w:color="auto" w:fill="FFFFFF"/>
            <w:vAlign w:val="center"/>
          </w:tcPr>
          <w:p w14:paraId="3AACA4FE"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Low (A2)</w:t>
            </w:r>
          </w:p>
        </w:tc>
        <w:tc>
          <w:tcPr>
            <w:tcW w:w="1009" w:type="dxa"/>
            <w:tcBorders>
              <w:top w:val="single" w:sz="4" w:space="0" w:color="auto"/>
              <w:bottom w:val="single" w:sz="4" w:space="0" w:color="auto"/>
            </w:tcBorders>
            <w:shd w:val="clear" w:color="auto" w:fill="FFFFFF"/>
            <w:vAlign w:val="center"/>
          </w:tcPr>
          <w:p w14:paraId="0C4274AD"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Total</w:t>
            </w:r>
          </w:p>
        </w:tc>
      </w:tr>
      <w:tr w:rsidR="002D6064" w14:paraId="6301D396" w14:textId="77777777">
        <w:trPr>
          <w:trHeight w:val="595"/>
          <w:jc w:val="center"/>
        </w:trPr>
        <w:tc>
          <w:tcPr>
            <w:tcW w:w="1893" w:type="dxa"/>
            <w:vMerge w:val="restart"/>
            <w:tcBorders>
              <w:top w:val="single" w:sz="4" w:space="0" w:color="auto"/>
            </w:tcBorders>
            <w:vAlign w:val="center"/>
          </w:tcPr>
          <w:p w14:paraId="6F1FDC6B" w14:textId="77777777" w:rsidR="002D6064" w:rsidRPr="00A05EB2" w:rsidRDefault="00B17D25">
            <w:pPr>
              <w:spacing w:after="0" w:line="240" w:lineRule="auto"/>
              <w:jc w:val="center"/>
              <w:rPr>
                <w:rFonts w:ascii="Times New Roman" w:hAnsi="Times New Roman" w:cs="Times New Roman"/>
                <w:b/>
                <w:bCs/>
              </w:rPr>
            </w:pPr>
            <w:r w:rsidRPr="00A05EB2">
              <w:rPr>
                <w:rFonts w:ascii="Times New Roman" w:hAnsi="Times New Roman" w:cs="Times New Roman"/>
                <w:b/>
                <w:bCs/>
              </w:rPr>
              <w:t>Ekstrovert (B1)</w:t>
            </w:r>
          </w:p>
          <w:p w14:paraId="3457E0B2" w14:textId="77777777" w:rsidR="002D6064" w:rsidRPr="00A05EB2" w:rsidRDefault="00B17D25">
            <w:pPr>
              <w:spacing w:after="0" w:line="240" w:lineRule="auto"/>
              <w:jc w:val="center"/>
              <w:rPr>
                <w:rFonts w:ascii="Times New Roman" w:hAnsi="Times New Roman" w:cs="Times New Roman"/>
                <w:b/>
                <w:bCs/>
              </w:rPr>
            </w:pPr>
            <w:r w:rsidRPr="00A05EB2">
              <w:rPr>
                <w:rFonts w:ascii="Times New Roman" w:hAnsi="Times New Roman" w:cs="Times New Roman"/>
                <w:b/>
                <w:bCs/>
              </w:rPr>
              <w:t>Introvert (B2)</w:t>
            </w:r>
          </w:p>
          <w:p w14:paraId="2A53CED4" w14:textId="77777777" w:rsidR="002D6064" w:rsidRPr="00A05EB2" w:rsidRDefault="00B17D25">
            <w:pPr>
              <w:spacing w:after="0" w:line="240" w:lineRule="auto"/>
              <w:jc w:val="center"/>
              <w:rPr>
                <w:rFonts w:ascii="Times New Roman" w:hAnsi="Times New Roman" w:cs="Times New Roman"/>
                <w:b/>
                <w:bCs/>
              </w:rPr>
            </w:pPr>
            <w:r w:rsidRPr="00A05EB2">
              <w:rPr>
                <w:rFonts w:ascii="Times New Roman" w:hAnsi="Times New Roman" w:cs="Times New Roman"/>
                <w:b/>
                <w:bCs/>
              </w:rPr>
              <w:t>TOTAL</w:t>
            </w:r>
          </w:p>
        </w:tc>
        <w:tc>
          <w:tcPr>
            <w:tcW w:w="1275" w:type="dxa"/>
            <w:vMerge w:val="restart"/>
            <w:tcBorders>
              <w:top w:val="single" w:sz="4" w:space="0" w:color="auto"/>
            </w:tcBorders>
            <w:vAlign w:val="center"/>
          </w:tcPr>
          <w:p w14:paraId="6C325D66"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A1B1</w:t>
            </w:r>
          </w:p>
          <w:p w14:paraId="63360FB5"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A1B2</w:t>
            </w:r>
          </w:p>
          <w:p w14:paraId="2C05841F"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rPr>
              <w:t xml:space="preserve">∑ </w:t>
            </w:r>
            <w:r w:rsidRPr="00A05EB2">
              <w:rPr>
                <w:rFonts w:ascii="Times New Roman" w:hAnsi="Times New Roman" w:cs="Times New Roman"/>
                <w:bCs/>
              </w:rPr>
              <w:t>A1</w:t>
            </w:r>
          </w:p>
        </w:tc>
        <w:tc>
          <w:tcPr>
            <w:tcW w:w="1276" w:type="dxa"/>
            <w:vMerge w:val="restart"/>
            <w:tcBorders>
              <w:top w:val="single" w:sz="4" w:space="0" w:color="auto"/>
            </w:tcBorders>
            <w:vAlign w:val="center"/>
          </w:tcPr>
          <w:p w14:paraId="6AAA6C48"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A2B1</w:t>
            </w:r>
          </w:p>
          <w:p w14:paraId="2708E9E3"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A2B2</w:t>
            </w:r>
          </w:p>
          <w:p w14:paraId="1C017A3D"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rPr>
              <w:t xml:space="preserve">∑ </w:t>
            </w:r>
            <w:r w:rsidRPr="00A05EB2">
              <w:rPr>
                <w:rFonts w:ascii="Times New Roman" w:hAnsi="Times New Roman" w:cs="Times New Roman"/>
                <w:bCs/>
              </w:rPr>
              <w:t>A2</w:t>
            </w:r>
          </w:p>
        </w:tc>
        <w:tc>
          <w:tcPr>
            <w:tcW w:w="1009" w:type="dxa"/>
            <w:tcBorders>
              <w:top w:val="single" w:sz="4" w:space="0" w:color="auto"/>
            </w:tcBorders>
            <w:vAlign w:val="center"/>
          </w:tcPr>
          <w:p w14:paraId="7FBB48A7"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rPr>
              <w:t xml:space="preserve">∑ </w:t>
            </w:r>
            <w:r w:rsidRPr="00A05EB2">
              <w:rPr>
                <w:rFonts w:ascii="Times New Roman" w:hAnsi="Times New Roman" w:cs="Times New Roman"/>
                <w:bCs/>
              </w:rPr>
              <w:t>B1</w:t>
            </w:r>
          </w:p>
          <w:p w14:paraId="4EDF2E58"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rPr>
              <w:t xml:space="preserve">∑ </w:t>
            </w:r>
            <w:r w:rsidRPr="00A05EB2">
              <w:rPr>
                <w:rFonts w:ascii="Times New Roman" w:hAnsi="Times New Roman" w:cs="Times New Roman"/>
                <w:bCs/>
              </w:rPr>
              <w:t>B2</w:t>
            </w:r>
          </w:p>
        </w:tc>
      </w:tr>
      <w:tr w:rsidR="002D6064" w14:paraId="65FD8AF1" w14:textId="77777777">
        <w:trPr>
          <w:jc w:val="center"/>
        </w:trPr>
        <w:tc>
          <w:tcPr>
            <w:tcW w:w="1893" w:type="dxa"/>
            <w:vMerge/>
            <w:tcBorders>
              <w:bottom w:val="single" w:sz="4" w:space="0" w:color="auto"/>
            </w:tcBorders>
            <w:vAlign w:val="center"/>
          </w:tcPr>
          <w:p w14:paraId="581F17BA" w14:textId="77777777" w:rsidR="002D6064" w:rsidRPr="00A05EB2" w:rsidRDefault="002D6064">
            <w:pPr>
              <w:spacing w:after="0" w:line="240" w:lineRule="auto"/>
              <w:jc w:val="center"/>
              <w:rPr>
                <w:rFonts w:ascii="Times New Roman" w:hAnsi="Times New Roman" w:cs="Times New Roman"/>
                <w:b/>
                <w:bCs/>
              </w:rPr>
            </w:pPr>
          </w:p>
        </w:tc>
        <w:tc>
          <w:tcPr>
            <w:tcW w:w="1275" w:type="dxa"/>
            <w:vMerge/>
            <w:tcBorders>
              <w:bottom w:val="single" w:sz="4" w:space="0" w:color="auto"/>
            </w:tcBorders>
            <w:vAlign w:val="center"/>
          </w:tcPr>
          <w:p w14:paraId="3BDE2C89" w14:textId="77777777" w:rsidR="002D6064" w:rsidRPr="00A05EB2" w:rsidRDefault="002D6064">
            <w:pPr>
              <w:spacing w:after="0" w:line="240" w:lineRule="auto"/>
              <w:jc w:val="center"/>
              <w:rPr>
                <w:rFonts w:ascii="Times New Roman" w:hAnsi="Times New Roman" w:cs="Times New Roman"/>
                <w:bCs/>
              </w:rPr>
            </w:pPr>
          </w:p>
        </w:tc>
        <w:tc>
          <w:tcPr>
            <w:tcW w:w="1276" w:type="dxa"/>
            <w:vMerge/>
            <w:tcBorders>
              <w:bottom w:val="single" w:sz="4" w:space="0" w:color="auto"/>
            </w:tcBorders>
            <w:vAlign w:val="center"/>
          </w:tcPr>
          <w:p w14:paraId="555F682C" w14:textId="77777777" w:rsidR="002D6064" w:rsidRPr="00A05EB2" w:rsidRDefault="002D6064">
            <w:pPr>
              <w:spacing w:after="0" w:line="240" w:lineRule="auto"/>
              <w:jc w:val="center"/>
              <w:rPr>
                <w:rFonts w:ascii="Times New Roman" w:hAnsi="Times New Roman" w:cs="Times New Roman"/>
                <w:bCs/>
              </w:rPr>
            </w:pPr>
          </w:p>
        </w:tc>
        <w:tc>
          <w:tcPr>
            <w:tcW w:w="1009" w:type="dxa"/>
            <w:tcBorders>
              <w:bottom w:val="single" w:sz="4" w:space="0" w:color="auto"/>
            </w:tcBorders>
            <w:vAlign w:val="center"/>
          </w:tcPr>
          <w:p w14:paraId="482C491C"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rPr>
              <w:t xml:space="preserve">∑ </w:t>
            </w:r>
            <w:r w:rsidRPr="00A05EB2">
              <w:rPr>
                <w:rFonts w:ascii="Times New Roman" w:hAnsi="Times New Roman" w:cs="Times New Roman"/>
                <w:bCs/>
              </w:rPr>
              <w:t>Total</w:t>
            </w:r>
          </w:p>
        </w:tc>
      </w:tr>
    </w:tbl>
    <w:p w14:paraId="4AC81C3D" w14:textId="77777777" w:rsidR="002D6064" w:rsidRDefault="002D6064">
      <w:pPr>
        <w:spacing w:after="0" w:line="240" w:lineRule="auto"/>
        <w:ind w:firstLine="567"/>
        <w:jc w:val="both"/>
        <w:rPr>
          <w:rFonts w:ascii="Times New Roman" w:hAnsi="Times New Roman" w:cs="Times New Roman"/>
          <w:bCs/>
          <w:sz w:val="24"/>
          <w:szCs w:val="24"/>
        </w:rPr>
      </w:pPr>
    </w:p>
    <w:p w14:paraId="79F01E15" w14:textId="77777777"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The study utilized data analysis to ascertain </w:t>
      </w:r>
      <w:r>
        <w:rPr>
          <w:rFonts w:ascii="Times New Roman" w:hAnsi="Times New Roman"/>
          <w:bCs/>
          <w:sz w:val="24"/>
          <w:szCs w:val="24"/>
        </w:rPr>
        <w:t>the effects of</w:t>
      </w:r>
      <w:r>
        <w:rPr>
          <w:rFonts w:ascii="Times New Roman" w:hAnsi="Times New Roman"/>
          <w:bCs/>
          <w:sz w:val="24"/>
          <w:szCs w:val="24"/>
          <w:lang w:val="en-US"/>
        </w:rPr>
        <w:t xml:space="preserve"> </w:t>
      </w:r>
      <w:r>
        <w:rPr>
          <w:rFonts w:ascii="Times New Roman" w:hAnsi="Times New Roman" w:cs="Times New Roman"/>
          <w:bCs/>
          <w:sz w:val="24"/>
          <w:szCs w:val="24"/>
        </w:rPr>
        <w:t xml:space="preserve">learning methods and personality traits on students' English reading proficiency. The data that was </w:t>
      </w:r>
      <w:r>
        <w:rPr>
          <w:rFonts w:ascii="Times New Roman" w:hAnsi="Times New Roman" w:cs="Times New Roman"/>
          <w:bCs/>
          <w:sz w:val="24"/>
          <w:szCs w:val="24"/>
        </w:rPr>
        <w:lastRenderedPageBreak/>
        <w:t>examined consisted of the test scores from each group, which were analyzed using a two-way ANOVA.</w:t>
      </w:r>
    </w:p>
    <w:p w14:paraId="0BBF083D" w14:textId="77777777" w:rsidR="002D6064" w:rsidRDefault="002D6064">
      <w:pPr>
        <w:spacing w:after="0" w:line="240" w:lineRule="auto"/>
        <w:jc w:val="both"/>
        <w:rPr>
          <w:rFonts w:ascii="Times New Roman" w:hAnsi="Times New Roman" w:cs="Times New Roman"/>
          <w:b/>
          <w:sz w:val="24"/>
          <w:szCs w:val="24"/>
        </w:rPr>
      </w:pPr>
    </w:p>
    <w:p w14:paraId="3AABC255" w14:textId="3C30E220" w:rsidR="002D6064" w:rsidRPr="001F7E08" w:rsidRDefault="001F7E08">
      <w:pPr>
        <w:spacing w:after="0" w:line="240" w:lineRule="auto"/>
        <w:jc w:val="both"/>
        <w:rPr>
          <w:rFonts w:ascii="Book Antiqua" w:hAnsi="Book Antiqua" w:cs="Times New Roman"/>
          <w:b/>
          <w:sz w:val="24"/>
          <w:szCs w:val="24"/>
          <w:lang w:val="zh-CN"/>
        </w:rPr>
      </w:pPr>
      <w:r w:rsidRPr="001F7E08">
        <w:rPr>
          <w:rFonts w:ascii="Book Antiqua" w:hAnsi="Book Antiqua" w:cs="Times New Roman"/>
          <w:b/>
          <w:sz w:val="24"/>
          <w:szCs w:val="24"/>
          <w:lang w:val="en-US"/>
        </w:rPr>
        <w:t>Findings</w:t>
      </w:r>
      <w:r w:rsidR="00B17D25" w:rsidRPr="001F7E08">
        <w:rPr>
          <w:rFonts w:ascii="Book Antiqua" w:hAnsi="Book Antiqua" w:cs="Times New Roman"/>
          <w:b/>
          <w:sz w:val="24"/>
          <w:szCs w:val="24"/>
        </w:rPr>
        <w:t xml:space="preserve"> </w:t>
      </w:r>
      <w:r w:rsidR="00B17D25" w:rsidRPr="001F7E08">
        <w:rPr>
          <w:rFonts w:ascii="Book Antiqua" w:hAnsi="Book Antiqua" w:cs="Times New Roman"/>
          <w:b/>
          <w:sz w:val="24"/>
          <w:szCs w:val="24"/>
          <w:lang w:val="zh-CN"/>
        </w:rPr>
        <w:t>a</w:t>
      </w:r>
      <w:proofErr w:type="spellStart"/>
      <w:r w:rsidR="00B17D25" w:rsidRPr="001F7E08">
        <w:rPr>
          <w:rFonts w:ascii="Book Antiqua" w:hAnsi="Book Antiqua" w:cs="Times New Roman"/>
          <w:b/>
          <w:sz w:val="24"/>
          <w:szCs w:val="24"/>
        </w:rPr>
        <w:t>nd</w:t>
      </w:r>
      <w:proofErr w:type="spellEnd"/>
      <w:r w:rsidR="00B17D25" w:rsidRPr="001F7E08">
        <w:rPr>
          <w:rFonts w:ascii="Book Antiqua" w:hAnsi="Book Antiqua" w:cs="Times New Roman"/>
          <w:b/>
          <w:sz w:val="24"/>
          <w:szCs w:val="24"/>
        </w:rPr>
        <w:t xml:space="preserve"> Discussion</w:t>
      </w:r>
    </w:p>
    <w:p w14:paraId="6A4B1D3B" w14:textId="71181691" w:rsidR="002D6064" w:rsidRDefault="00B17D25">
      <w:pPr>
        <w:tabs>
          <w:tab w:val="left" w:pos="495"/>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w:t>
      </w:r>
      <w:r w:rsidR="001F7E08">
        <w:rPr>
          <w:rFonts w:ascii="Times New Roman" w:hAnsi="Times New Roman" w:cs="Times New Roman"/>
          <w:bCs/>
          <w:sz w:val="24"/>
          <w:szCs w:val="24"/>
        </w:rPr>
        <w:t>part</w:t>
      </w:r>
      <w:r>
        <w:rPr>
          <w:rFonts w:ascii="Times New Roman" w:hAnsi="Times New Roman" w:cs="Times New Roman"/>
          <w:bCs/>
          <w:sz w:val="24"/>
          <w:szCs w:val="24"/>
        </w:rPr>
        <w:t xml:space="preserve"> will present the findings of the study, encompassing data description, requirements analysis, and hypothesis testing.</w:t>
      </w:r>
    </w:p>
    <w:p w14:paraId="5EAD3EEB" w14:textId="77777777" w:rsidR="002D6064" w:rsidRPr="001F7E08" w:rsidRDefault="00B17D25" w:rsidP="001F7E08">
      <w:pPr>
        <w:pStyle w:val="ListParagraph"/>
        <w:spacing w:after="0" w:line="240" w:lineRule="auto"/>
        <w:ind w:left="0"/>
        <w:jc w:val="both"/>
        <w:rPr>
          <w:rFonts w:ascii="Book Antiqua" w:hAnsi="Book Antiqua" w:cs="Times New Roman"/>
          <w:b/>
          <w:bCs/>
          <w:sz w:val="24"/>
          <w:szCs w:val="24"/>
        </w:rPr>
      </w:pPr>
      <w:r w:rsidRPr="001F7E08">
        <w:rPr>
          <w:rFonts w:ascii="Book Antiqua" w:hAnsi="Book Antiqua" w:cs="Times New Roman"/>
          <w:b/>
          <w:bCs/>
          <w:sz w:val="24"/>
          <w:szCs w:val="24"/>
        </w:rPr>
        <w:t>Data Description</w:t>
      </w:r>
    </w:p>
    <w:p w14:paraId="37539916" w14:textId="77777777" w:rsidR="002D6064" w:rsidRDefault="00B17D25" w:rsidP="001F7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Description Statistics</w:t>
      </w:r>
    </w:p>
    <w:tbl>
      <w:tblPr>
        <w:tblW w:w="7658" w:type="dxa"/>
        <w:jc w:val="center"/>
        <w:tblLook w:val="04A0" w:firstRow="1" w:lastRow="0" w:firstColumn="1" w:lastColumn="0" w:noHBand="0" w:noVBand="1"/>
      </w:tblPr>
      <w:tblGrid>
        <w:gridCol w:w="1769"/>
        <w:gridCol w:w="1936"/>
        <w:gridCol w:w="1453"/>
        <w:gridCol w:w="1250"/>
        <w:gridCol w:w="1250"/>
      </w:tblGrid>
      <w:tr w:rsidR="002D6064" w14:paraId="24DE8403" w14:textId="77777777">
        <w:trPr>
          <w:jc w:val="center"/>
        </w:trPr>
        <w:tc>
          <w:tcPr>
            <w:tcW w:w="5158" w:type="dxa"/>
            <w:gridSpan w:val="3"/>
            <w:tcBorders>
              <w:top w:val="single" w:sz="4" w:space="0" w:color="auto"/>
              <w:bottom w:val="single" w:sz="4" w:space="0" w:color="auto"/>
            </w:tcBorders>
            <w:shd w:val="clear" w:color="auto" w:fill="FFFFFF"/>
            <w:vAlign w:val="center"/>
          </w:tcPr>
          <w:p w14:paraId="1D24A10F" w14:textId="77777777" w:rsidR="002D6064" w:rsidRPr="00A05EB2" w:rsidRDefault="00B17D25">
            <w:pPr>
              <w:spacing w:after="0" w:line="240" w:lineRule="auto"/>
              <w:rPr>
                <w:rFonts w:ascii="Times New Roman" w:hAnsi="Times New Roman" w:cs="Times New Roman"/>
                <w:b/>
              </w:rPr>
            </w:pPr>
            <w:r w:rsidRPr="00A05EB2">
              <w:rPr>
                <w:rFonts w:ascii="Times New Roman" w:hAnsi="Times New Roman" w:cs="Times New Roman"/>
                <w:b/>
              </w:rPr>
              <w:t>Dependent Variable: Reading Skill</w:t>
            </w:r>
          </w:p>
        </w:tc>
        <w:tc>
          <w:tcPr>
            <w:tcW w:w="1250" w:type="dxa"/>
            <w:tcBorders>
              <w:top w:val="single" w:sz="4" w:space="0" w:color="auto"/>
              <w:bottom w:val="single" w:sz="4" w:space="0" w:color="auto"/>
            </w:tcBorders>
            <w:shd w:val="clear" w:color="auto" w:fill="FFFFFF"/>
            <w:vAlign w:val="center"/>
          </w:tcPr>
          <w:p w14:paraId="21437B8B" w14:textId="77777777" w:rsidR="002D6064" w:rsidRPr="00A05EB2" w:rsidRDefault="002D6064">
            <w:pPr>
              <w:spacing w:after="0" w:line="240" w:lineRule="auto"/>
              <w:jc w:val="center"/>
              <w:rPr>
                <w:rFonts w:ascii="Times New Roman" w:hAnsi="Times New Roman" w:cs="Times New Roman"/>
                <w:b/>
              </w:rPr>
            </w:pPr>
          </w:p>
        </w:tc>
        <w:tc>
          <w:tcPr>
            <w:tcW w:w="1250" w:type="dxa"/>
            <w:tcBorders>
              <w:top w:val="single" w:sz="4" w:space="0" w:color="auto"/>
              <w:bottom w:val="single" w:sz="4" w:space="0" w:color="auto"/>
            </w:tcBorders>
            <w:shd w:val="clear" w:color="auto" w:fill="FFFFFF"/>
            <w:vAlign w:val="center"/>
          </w:tcPr>
          <w:p w14:paraId="34E734BA" w14:textId="77777777" w:rsidR="002D6064" w:rsidRPr="00A05EB2" w:rsidRDefault="002D6064">
            <w:pPr>
              <w:spacing w:after="0" w:line="240" w:lineRule="auto"/>
              <w:jc w:val="center"/>
              <w:rPr>
                <w:rFonts w:ascii="Times New Roman" w:hAnsi="Times New Roman" w:cs="Times New Roman"/>
                <w:b/>
              </w:rPr>
            </w:pPr>
          </w:p>
        </w:tc>
      </w:tr>
      <w:tr w:rsidR="002D6064" w14:paraId="1C884324" w14:textId="77777777">
        <w:trPr>
          <w:jc w:val="center"/>
        </w:trPr>
        <w:tc>
          <w:tcPr>
            <w:tcW w:w="1769" w:type="dxa"/>
            <w:tcBorders>
              <w:top w:val="single" w:sz="4" w:space="0" w:color="auto"/>
              <w:bottom w:val="single" w:sz="4" w:space="0" w:color="auto"/>
            </w:tcBorders>
            <w:shd w:val="clear" w:color="auto" w:fill="FFFFFF"/>
            <w:vAlign w:val="center"/>
          </w:tcPr>
          <w:p w14:paraId="077B22A9"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Personality</w:t>
            </w:r>
          </w:p>
        </w:tc>
        <w:tc>
          <w:tcPr>
            <w:tcW w:w="1936" w:type="dxa"/>
            <w:tcBorders>
              <w:top w:val="single" w:sz="4" w:space="0" w:color="auto"/>
              <w:bottom w:val="single" w:sz="4" w:space="0" w:color="auto"/>
            </w:tcBorders>
            <w:shd w:val="clear" w:color="auto" w:fill="FFFFFF"/>
            <w:vAlign w:val="center"/>
          </w:tcPr>
          <w:p w14:paraId="19ED7062"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Motivation</w:t>
            </w:r>
          </w:p>
        </w:tc>
        <w:tc>
          <w:tcPr>
            <w:tcW w:w="1453" w:type="dxa"/>
            <w:tcBorders>
              <w:top w:val="single" w:sz="4" w:space="0" w:color="auto"/>
              <w:bottom w:val="single" w:sz="4" w:space="0" w:color="auto"/>
            </w:tcBorders>
            <w:shd w:val="clear" w:color="auto" w:fill="FFFFFF"/>
            <w:vAlign w:val="center"/>
          </w:tcPr>
          <w:p w14:paraId="44FD21E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Mean</w:t>
            </w:r>
          </w:p>
        </w:tc>
        <w:tc>
          <w:tcPr>
            <w:tcW w:w="1250" w:type="dxa"/>
            <w:tcBorders>
              <w:top w:val="single" w:sz="4" w:space="0" w:color="auto"/>
              <w:bottom w:val="single" w:sz="4" w:space="0" w:color="auto"/>
            </w:tcBorders>
            <w:shd w:val="clear" w:color="auto" w:fill="FFFFFF"/>
            <w:vAlign w:val="center"/>
          </w:tcPr>
          <w:p w14:paraId="3E0ADE55"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Std. Deviation</w:t>
            </w:r>
          </w:p>
        </w:tc>
        <w:tc>
          <w:tcPr>
            <w:tcW w:w="1250" w:type="dxa"/>
            <w:tcBorders>
              <w:top w:val="single" w:sz="4" w:space="0" w:color="auto"/>
              <w:bottom w:val="single" w:sz="4" w:space="0" w:color="auto"/>
            </w:tcBorders>
            <w:shd w:val="clear" w:color="auto" w:fill="FFFFFF"/>
            <w:vAlign w:val="center"/>
          </w:tcPr>
          <w:p w14:paraId="420031EE"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N</w:t>
            </w:r>
          </w:p>
        </w:tc>
      </w:tr>
      <w:tr w:rsidR="002D6064" w14:paraId="71E0AB92" w14:textId="77777777">
        <w:trPr>
          <w:jc w:val="center"/>
        </w:trPr>
        <w:tc>
          <w:tcPr>
            <w:tcW w:w="1769" w:type="dxa"/>
            <w:vMerge w:val="restart"/>
            <w:tcBorders>
              <w:top w:val="single" w:sz="4" w:space="0" w:color="auto"/>
            </w:tcBorders>
            <w:vAlign w:val="center"/>
          </w:tcPr>
          <w:p w14:paraId="32848117"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Ekstrovert</w:t>
            </w:r>
          </w:p>
        </w:tc>
        <w:tc>
          <w:tcPr>
            <w:tcW w:w="1936" w:type="dxa"/>
            <w:tcBorders>
              <w:top w:val="single" w:sz="4" w:space="0" w:color="auto"/>
            </w:tcBorders>
            <w:vAlign w:val="center"/>
          </w:tcPr>
          <w:p w14:paraId="20590DFF"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High</w:t>
            </w:r>
          </w:p>
        </w:tc>
        <w:tc>
          <w:tcPr>
            <w:tcW w:w="1453" w:type="dxa"/>
            <w:tcBorders>
              <w:top w:val="single" w:sz="4" w:space="0" w:color="auto"/>
            </w:tcBorders>
            <w:vAlign w:val="center"/>
          </w:tcPr>
          <w:p w14:paraId="137AC3C9"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76.15</w:t>
            </w:r>
          </w:p>
        </w:tc>
        <w:tc>
          <w:tcPr>
            <w:tcW w:w="1250" w:type="dxa"/>
            <w:tcBorders>
              <w:top w:val="single" w:sz="4" w:space="0" w:color="auto"/>
            </w:tcBorders>
            <w:vAlign w:val="center"/>
          </w:tcPr>
          <w:p w14:paraId="67B5A8D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4.966</w:t>
            </w:r>
          </w:p>
        </w:tc>
        <w:tc>
          <w:tcPr>
            <w:tcW w:w="1250" w:type="dxa"/>
            <w:tcBorders>
              <w:top w:val="single" w:sz="4" w:space="0" w:color="auto"/>
            </w:tcBorders>
            <w:vAlign w:val="center"/>
          </w:tcPr>
          <w:p w14:paraId="3F1A5FF9"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20</w:t>
            </w:r>
          </w:p>
        </w:tc>
      </w:tr>
      <w:tr w:rsidR="002D6064" w14:paraId="445E1C44" w14:textId="77777777">
        <w:trPr>
          <w:jc w:val="center"/>
        </w:trPr>
        <w:tc>
          <w:tcPr>
            <w:tcW w:w="1769" w:type="dxa"/>
            <w:vMerge/>
            <w:vAlign w:val="center"/>
          </w:tcPr>
          <w:p w14:paraId="5322F141" w14:textId="77777777" w:rsidR="002D6064" w:rsidRPr="00A05EB2" w:rsidRDefault="002D6064">
            <w:pPr>
              <w:spacing w:after="0" w:line="240" w:lineRule="auto"/>
              <w:jc w:val="center"/>
              <w:rPr>
                <w:rFonts w:ascii="Times New Roman" w:hAnsi="Times New Roman" w:cs="Times New Roman"/>
                <w:bCs/>
              </w:rPr>
            </w:pPr>
          </w:p>
        </w:tc>
        <w:tc>
          <w:tcPr>
            <w:tcW w:w="1936" w:type="dxa"/>
            <w:vAlign w:val="center"/>
          </w:tcPr>
          <w:p w14:paraId="7E8E3622"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Low</w:t>
            </w:r>
          </w:p>
        </w:tc>
        <w:tc>
          <w:tcPr>
            <w:tcW w:w="1453" w:type="dxa"/>
            <w:vAlign w:val="center"/>
          </w:tcPr>
          <w:p w14:paraId="30BFA94B"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59.64</w:t>
            </w:r>
          </w:p>
        </w:tc>
        <w:tc>
          <w:tcPr>
            <w:tcW w:w="1250" w:type="dxa"/>
            <w:vAlign w:val="center"/>
          </w:tcPr>
          <w:p w14:paraId="43CE6E4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6.259</w:t>
            </w:r>
          </w:p>
        </w:tc>
        <w:tc>
          <w:tcPr>
            <w:tcW w:w="1250" w:type="dxa"/>
            <w:vAlign w:val="center"/>
          </w:tcPr>
          <w:p w14:paraId="616A4175"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14</w:t>
            </w:r>
          </w:p>
        </w:tc>
      </w:tr>
      <w:tr w:rsidR="002D6064" w14:paraId="167A3376" w14:textId="77777777">
        <w:trPr>
          <w:jc w:val="center"/>
        </w:trPr>
        <w:tc>
          <w:tcPr>
            <w:tcW w:w="1769" w:type="dxa"/>
            <w:vMerge/>
            <w:vAlign w:val="center"/>
          </w:tcPr>
          <w:p w14:paraId="696F32B8" w14:textId="77777777" w:rsidR="002D6064" w:rsidRPr="00A05EB2" w:rsidRDefault="002D6064">
            <w:pPr>
              <w:spacing w:after="0" w:line="240" w:lineRule="auto"/>
              <w:jc w:val="center"/>
              <w:rPr>
                <w:rFonts w:ascii="Times New Roman" w:hAnsi="Times New Roman" w:cs="Times New Roman"/>
                <w:bCs/>
              </w:rPr>
            </w:pPr>
          </w:p>
        </w:tc>
        <w:tc>
          <w:tcPr>
            <w:tcW w:w="1936" w:type="dxa"/>
            <w:vAlign w:val="center"/>
          </w:tcPr>
          <w:p w14:paraId="69F9AAC3"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Total</w:t>
            </w:r>
          </w:p>
        </w:tc>
        <w:tc>
          <w:tcPr>
            <w:tcW w:w="1453" w:type="dxa"/>
            <w:vAlign w:val="center"/>
          </w:tcPr>
          <w:p w14:paraId="2A18E69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69.35</w:t>
            </w:r>
          </w:p>
        </w:tc>
        <w:tc>
          <w:tcPr>
            <w:tcW w:w="1250" w:type="dxa"/>
            <w:vAlign w:val="center"/>
          </w:tcPr>
          <w:p w14:paraId="1852E9F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9.881</w:t>
            </w:r>
          </w:p>
        </w:tc>
        <w:tc>
          <w:tcPr>
            <w:tcW w:w="1250" w:type="dxa"/>
            <w:vAlign w:val="center"/>
          </w:tcPr>
          <w:p w14:paraId="3FE6DB5C"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34</w:t>
            </w:r>
          </w:p>
        </w:tc>
      </w:tr>
      <w:tr w:rsidR="002D6064" w14:paraId="58B36342" w14:textId="77777777">
        <w:trPr>
          <w:jc w:val="center"/>
        </w:trPr>
        <w:tc>
          <w:tcPr>
            <w:tcW w:w="1769" w:type="dxa"/>
            <w:vAlign w:val="center"/>
          </w:tcPr>
          <w:p w14:paraId="691503F1"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Introvert</w:t>
            </w:r>
          </w:p>
        </w:tc>
        <w:tc>
          <w:tcPr>
            <w:tcW w:w="1936" w:type="dxa"/>
            <w:vAlign w:val="center"/>
          </w:tcPr>
          <w:p w14:paraId="664518BA"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High</w:t>
            </w:r>
          </w:p>
        </w:tc>
        <w:tc>
          <w:tcPr>
            <w:tcW w:w="1453" w:type="dxa"/>
            <w:vAlign w:val="center"/>
          </w:tcPr>
          <w:p w14:paraId="03D2922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82.57</w:t>
            </w:r>
          </w:p>
        </w:tc>
        <w:tc>
          <w:tcPr>
            <w:tcW w:w="1250" w:type="dxa"/>
            <w:vAlign w:val="center"/>
          </w:tcPr>
          <w:p w14:paraId="403DC24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6.653</w:t>
            </w:r>
          </w:p>
        </w:tc>
        <w:tc>
          <w:tcPr>
            <w:tcW w:w="1250" w:type="dxa"/>
            <w:vAlign w:val="center"/>
          </w:tcPr>
          <w:p w14:paraId="1C53DF8A"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23</w:t>
            </w:r>
          </w:p>
        </w:tc>
      </w:tr>
      <w:tr w:rsidR="002D6064" w14:paraId="07F968E8" w14:textId="77777777">
        <w:trPr>
          <w:jc w:val="center"/>
        </w:trPr>
        <w:tc>
          <w:tcPr>
            <w:tcW w:w="1769" w:type="dxa"/>
            <w:vAlign w:val="center"/>
          </w:tcPr>
          <w:p w14:paraId="74F3C8AB" w14:textId="77777777" w:rsidR="002D6064" w:rsidRPr="00A05EB2" w:rsidRDefault="002D6064">
            <w:pPr>
              <w:spacing w:after="0" w:line="240" w:lineRule="auto"/>
              <w:jc w:val="center"/>
              <w:rPr>
                <w:rFonts w:ascii="Times New Roman" w:hAnsi="Times New Roman" w:cs="Times New Roman"/>
                <w:bCs/>
              </w:rPr>
            </w:pPr>
          </w:p>
        </w:tc>
        <w:tc>
          <w:tcPr>
            <w:tcW w:w="1936" w:type="dxa"/>
            <w:vAlign w:val="center"/>
          </w:tcPr>
          <w:p w14:paraId="47664553"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Low</w:t>
            </w:r>
          </w:p>
        </w:tc>
        <w:tc>
          <w:tcPr>
            <w:tcW w:w="1453" w:type="dxa"/>
            <w:vAlign w:val="center"/>
          </w:tcPr>
          <w:p w14:paraId="397E6F13"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59.73</w:t>
            </w:r>
          </w:p>
        </w:tc>
        <w:tc>
          <w:tcPr>
            <w:tcW w:w="1250" w:type="dxa"/>
            <w:vAlign w:val="center"/>
          </w:tcPr>
          <w:p w14:paraId="4277F149"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6.498</w:t>
            </w:r>
          </w:p>
        </w:tc>
        <w:tc>
          <w:tcPr>
            <w:tcW w:w="1250" w:type="dxa"/>
            <w:vAlign w:val="center"/>
          </w:tcPr>
          <w:p w14:paraId="0E705F01"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11</w:t>
            </w:r>
          </w:p>
        </w:tc>
      </w:tr>
      <w:tr w:rsidR="002D6064" w14:paraId="065BA21D" w14:textId="77777777">
        <w:trPr>
          <w:jc w:val="center"/>
        </w:trPr>
        <w:tc>
          <w:tcPr>
            <w:tcW w:w="1769" w:type="dxa"/>
            <w:vAlign w:val="center"/>
          </w:tcPr>
          <w:p w14:paraId="063A40F6" w14:textId="77777777" w:rsidR="002D6064" w:rsidRPr="00A05EB2" w:rsidRDefault="002D6064">
            <w:pPr>
              <w:spacing w:after="0" w:line="240" w:lineRule="auto"/>
              <w:jc w:val="center"/>
              <w:rPr>
                <w:rFonts w:ascii="Times New Roman" w:hAnsi="Times New Roman" w:cs="Times New Roman"/>
                <w:bCs/>
              </w:rPr>
            </w:pPr>
          </w:p>
        </w:tc>
        <w:tc>
          <w:tcPr>
            <w:tcW w:w="1936" w:type="dxa"/>
            <w:vAlign w:val="center"/>
          </w:tcPr>
          <w:p w14:paraId="03DAC515"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Total</w:t>
            </w:r>
          </w:p>
        </w:tc>
        <w:tc>
          <w:tcPr>
            <w:tcW w:w="1453" w:type="dxa"/>
            <w:vAlign w:val="center"/>
          </w:tcPr>
          <w:p w14:paraId="7AC7747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75.18</w:t>
            </w:r>
          </w:p>
        </w:tc>
        <w:tc>
          <w:tcPr>
            <w:tcW w:w="1250" w:type="dxa"/>
            <w:vAlign w:val="center"/>
          </w:tcPr>
          <w:p w14:paraId="50CB0DA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12.645</w:t>
            </w:r>
          </w:p>
        </w:tc>
        <w:tc>
          <w:tcPr>
            <w:tcW w:w="1250" w:type="dxa"/>
            <w:vAlign w:val="center"/>
          </w:tcPr>
          <w:p w14:paraId="18D6DFFD"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34</w:t>
            </w:r>
          </w:p>
        </w:tc>
      </w:tr>
      <w:tr w:rsidR="002D6064" w14:paraId="71A8CF5B" w14:textId="77777777">
        <w:trPr>
          <w:jc w:val="center"/>
        </w:trPr>
        <w:tc>
          <w:tcPr>
            <w:tcW w:w="1769" w:type="dxa"/>
            <w:vAlign w:val="center"/>
          </w:tcPr>
          <w:p w14:paraId="0466E4AB"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Total</w:t>
            </w:r>
          </w:p>
        </w:tc>
        <w:tc>
          <w:tcPr>
            <w:tcW w:w="1936" w:type="dxa"/>
            <w:vAlign w:val="center"/>
          </w:tcPr>
          <w:p w14:paraId="7A5F1516"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High</w:t>
            </w:r>
          </w:p>
        </w:tc>
        <w:tc>
          <w:tcPr>
            <w:tcW w:w="1453" w:type="dxa"/>
            <w:vAlign w:val="center"/>
          </w:tcPr>
          <w:p w14:paraId="2CB8EA33"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79.58</w:t>
            </w:r>
          </w:p>
        </w:tc>
        <w:tc>
          <w:tcPr>
            <w:tcW w:w="1250" w:type="dxa"/>
            <w:vAlign w:val="center"/>
          </w:tcPr>
          <w:p w14:paraId="4CFD6E15"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6.695</w:t>
            </w:r>
          </w:p>
        </w:tc>
        <w:tc>
          <w:tcPr>
            <w:tcW w:w="1250" w:type="dxa"/>
            <w:vAlign w:val="center"/>
          </w:tcPr>
          <w:p w14:paraId="31750761"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43</w:t>
            </w:r>
          </w:p>
        </w:tc>
      </w:tr>
      <w:tr w:rsidR="002D6064" w14:paraId="0B371927" w14:textId="77777777">
        <w:trPr>
          <w:jc w:val="center"/>
        </w:trPr>
        <w:tc>
          <w:tcPr>
            <w:tcW w:w="1769" w:type="dxa"/>
            <w:vAlign w:val="center"/>
          </w:tcPr>
          <w:p w14:paraId="7427BBF5" w14:textId="77777777" w:rsidR="002D6064" w:rsidRPr="00A05EB2" w:rsidRDefault="002D6064">
            <w:pPr>
              <w:spacing w:after="0" w:line="240" w:lineRule="auto"/>
              <w:jc w:val="center"/>
              <w:rPr>
                <w:rFonts w:ascii="Times New Roman" w:hAnsi="Times New Roman" w:cs="Times New Roman"/>
                <w:bCs/>
              </w:rPr>
            </w:pPr>
          </w:p>
        </w:tc>
        <w:tc>
          <w:tcPr>
            <w:tcW w:w="1936" w:type="dxa"/>
            <w:vAlign w:val="center"/>
          </w:tcPr>
          <w:p w14:paraId="3362A768"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Low</w:t>
            </w:r>
          </w:p>
        </w:tc>
        <w:tc>
          <w:tcPr>
            <w:tcW w:w="1453" w:type="dxa"/>
            <w:vAlign w:val="center"/>
          </w:tcPr>
          <w:p w14:paraId="6ABD0EEE"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59.68</w:t>
            </w:r>
          </w:p>
        </w:tc>
        <w:tc>
          <w:tcPr>
            <w:tcW w:w="1250" w:type="dxa"/>
            <w:vAlign w:val="center"/>
          </w:tcPr>
          <w:p w14:paraId="71F2AB9B"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6.230</w:t>
            </w:r>
          </w:p>
        </w:tc>
        <w:tc>
          <w:tcPr>
            <w:tcW w:w="1250" w:type="dxa"/>
            <w:vAlign w:val="center"/>
          </w:tcPr>
          <w:p w14:paraId="05AE4FC6"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25</w:t>
            </w:r>
          </w:p>
        </w:tc>
      </w:tr>
      <w:tr w:rsidR="002D6064" w14:paraId="387BE24E" w14:textId="77777777">
        <w:trPr>
          <w:jc w:val="center"/>
        </w:trPr>
        <w:tc>
          <w:tcPr>
            <w:tcW w:w="1769" w:type="dxa"/>
            <w:tcBorders>
              <w:bottom w:val="single" w:sz="4" w:space="0" w:color="auto"/>
            </w:tcBorders>
            <w:vAlign w:val="center"/>
          </w:tcPr>
          <w:p w14:paraId="5BCCA5D0" w14:textId="77777777" w:rsidR="002D6064" w:rsidRPr="00A05EB2" w:rsidRDefault="002D6064">
            <w:pPr>
              <w:spacing w:after="0" w:line="240" w:lineRule="auto"/>
              <w:jc w:val="center"/>
              <w:rPr>
                <w:rFonts w:ascii="Times New Roman" w:hAnsi="Times New Roman" w:cs="Times New Roman"/>
                <w:bCs/>
              </w:rPr>
            </w:pPr>
          </w:p>
        </w:tc>
        <w:tc>
          <w:tcPr>
            <w:tcW w:w="1936" w:type="dxa"/>
            <w:tcBorders>
              <w:bottom w:val="single" w:sz="4" w:space="0" w:color="auto"/>
            </w:tcBorders>
            <w:vAlign w:val="center"/>
          </w:tcPr>
          <w:p w14:paraId="550202B0"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Total</w:t>
            </w:r>
          </w:p>
        </w:tc>
        <w:tc>
          <w:tcPr>
            <w:tcW w:w="1453" w:type="dxa"/>
            <w:tcBorders>
              <w:bottom w:val="single" w:sz="4" w:space="0" w:color="auto"/>
            </w:tcBorders>
            <w:vAlign w:val="center"/>
          </w:tcPr>
          <w:p w14:paraId="492E09E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72.26</w:t>
            </w:r>
          </w:p>
        </w:tc>
        <w:tc>
          <w:tcPr>
            <w:tcW w:w="1250" w:type="dxa"/>
            <w:tcBorders>
              <w:bottom w:val="single" w:sz="4" w:space="0" w:color="auto"/>
            </w:tcBorders>
            <w:vAlign w:val="center"/>
          </w:tcPr>
          <w:p w14:paraId="063DE4D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11.638</w:t>
            </w:r>
          </w:p>
        </w:tc>
        <w:tc>
          <w:tcPr>
            <w:tcW w:w="1250" w:type="dxa"/>
            <w:tcBorders>
              <w:bottom w:val="single" w:sz="4" w:space="0" w:color="auto"/>
            </w:tcBorders>
            <w:vAlign w:val="center"/>
          </w:tcPr>
          <w:p w14:paraId="0F7FE4DE"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68</w:t>
            </w:r>
          </w:p>
        </w:tc>
      </w:tr>
    </w:tbl>
    <w:p w14:paraId="03A59305" w14:textId="77777777" w:rsidR="002D6064" w:rsidRDefault="002D6064">
      <w:pPr>
        <w:spacing w:after="0" w:line="240" w:lineRule="auto"/>
        <w:jc w:val="both"/>
        <w:rPr>
          <w:rFonts w:ascii="Times New Roman" w:hAnsi="Times New Roman" w:cs="Times New Roman"/>
          <w:bCs/>
          <w:sz w:val="24"/>
          <w:szCs w:val="24"/>
        </w:rPr>
      </w:pPr>
    </w:p>
    <w:p w14:paraId="0205E1A4" w14:textId="77777777"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The descriptive statistical data provided indicates that there are 20 individuals with extroverted personalities that exhibit high motivation. The mean value for this group is 76.15, with a standard deviation of 4.966. Meanwhile, there are 14 students with extroverted personalities who have low motivation. The mean value of their motivation is 59.64, with a standard deviation of 6.259. The mean value is 69.35 with a standard deviation of 9.881. There are a total of 34 pupils.</w:t>
      </w:r>
    </w:p>
    <w:p w14:paraId="36ADF43F" w14:textId="061CE925"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The descriptive statistical data provided indicates that there are 23 students with an introverted personality and high motivation. The mean value for this group is 82.57, with a standard deviation of 6.653. There are 11 students that have an introverted personality and poor learning motivation. The mean score for these students is 59.73, with a standard deviation of 6.498. The mean score is 75.18 with a standard deviation of 12.645. There are a total of 34 pupils.</w:t>
      </w:r>
    </w:p>
    <w:p w14:paraId="1E28E1F9" w14:textId="77777777" w:rsidR="001F7E08" w:rsidRDefault="001F7E08">
      <w:pPr>
        <w:spacing w:after="0" w:line="240" w:lineRule="auto"/>
        <w:ind w:firstLine="567"/>
        <w:jc w:val="both"/>
        <w:rPr>
          <w:rFonts w:ascii="Times New Roman" w:hAnsi="Times New Roman" w:cs="Times New Roman"/>
          <w:bCs/>
          <w:sz w:val="24"/>
          <w:szCs w:val="24"/>
        </w:rPr>
      </w:pPr>
    </w:p>
    <w:p w14:paraId="4A7FDA0C" w14:textId="77777777" w:rsidR="002D6064" w:rsidRDefault="00B17D25" w:rsidP="001F7E08">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Normality Test</w:t>
      </w:r>
    </w:p>
    <w:p w14:paraId="25DCE1F1" w14:textId="77777777"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The purpose of the data normality test is to ascertain whether the obtained data follows a normal distribution or not. Data normality testing was conducted using SPSS in this study.</w:t>
      </w:r>
    </w:p>
    <w:p w14:paraId="25D49D64" w14:textId="77777777" w:rsidR="002D6064" w:rsidRDefault="00B17D25" w:rsidP="001F7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5. Normality Test</w:t>
      </w:r>
    </w:p>
    <w:tbl>
      <w:tblPr>
        <w:tblW w:w="5453" w:type="dxa"/>
        <w:jc w:val="center"/>
        <w:tblLayout w:type="fixed"/>
        <w:tblLook w:val="04A0" w:firstRow="1" w:lastRow="0" w:firstColumn="1" w:lastColumn="0" w:noHBand="0" w:noVBand="1"/>
      </w:tblPr>
      <w:tblGrid>
        <w:gridCol w:w="2601"/>
        <w:gridCol w:w="1134"/>
        <w:gridCol w:w="851"/>
        <w:gridCol w:w="867"/>
      </w:tblGrid>
      <w:tr w:rsidR="002D6064" w:rsidRPr="00A05EB2" w14:paraId="2A2AB34E" w14:textId="77777777">
        <w:trPr>
          <w:jc w:val="center"/>
        </w:trPr>
        <w:tc>
          <w:tcPr>
            <w:tcW w:w="2601" w:type="dxa"/>
            <w:vMerge w:val="restart"/>
            <w:tcBorders>
              <w:top w:val="single" w:sz="4" w:space="0" w:color="auto"/>
            </w:tcBorders>
            <w:shd w:val="clear" w:color="auto" w:fill="FFFFFF"/>
          </w:tcPr>
          <w:p w14:paraId="68A6B9B3" w14:textId="77777777" w:rsidR="002D6064" w:rsidRPr="00A05EB2" w:rsidRDefault="002D6064">
            <w:pPr>
              <w:spacing w:after="0" w:line="240" w:lineRule="auto"/>
              <w:jc w:val="both"/>
              <w:rPr>
                <w:rFonts w:ascii="Times New Roman" w:hAnsi="Times New Roman" w:cs="Times New Roman"/>
                <w:b/>
              </w:rPr>
            </w:pPr>
          </w:p>
        </w:tc>
        <w:tc>
          <w:tcPr>
            <w:tcW w:w="2852" w:type="dxa"/>
            <w:gridSpan w:val="3"/>
            <w:tcBorders>
              <w:top w:val="single" w:sz="4" w:space="0" w:color="auto"/>
              <w:bottom w:val="single" w:sz="4" w:space="0" w:color="auto"/>
            </w:tcBorders>
            <w:shd w:val="clear" w:color="auto" w:fill="FFFFFF"/>
          </w:tcPr>
          <w:p w14:paraId="5F2F06F4" w14:textId="77777777" w:rsidR="002D6064" w:rsidRPr="00A05EB2" w:rsidRDefault="00B17D25">
            <w:pPr>
              <w:spacing w:after="0" w:line="240" w:lineRule="auto"/>
              <w:jc w:val="both"/>
              <w:rPr>
                <w:rFonts w:ascii="Times New Roman" w:hAnsi="Times New Roman" w:cs="Times New Roman"/>
                <w:b/>
              </w:rPr>
            </w:pPr>
            <w:r w:rsidRPr="00A05EB2">
              <w:rPr>
                <w:rFonts w:ascii="Times New Roman" w:hAnsi="Times New Roman" w:cs="Times New Roman"/>
                <w:b/>
              </w:rPr>
              <w:t>Kolmogorov-Smirnov</w:t>
            </w:r>
            <w:r w:rsidRPr="00A05EB2">
              <w:rPr>
                <w:rFonts w:ascii="Times New Roman" w:hAnsi="Times New Roman" w:cs="Times New Roman"/>
                <w:b/>
                <w:vertAlign w:val="superscript"/>
              </w:rPr>
              <w:t>a</w:t>
            </w:r>
          </w:p>
        </w:tc>
      </w:tr>
      <w:tr w:rsidR="002D6064" w:rsidRPr="00A05EB2" w14:paraId="4C610375" w14:textId="77777777">
        <w:trPr>
          <w:jc w:val="center"/>
        </w:trPr>
        <w:tc>
          <w:tcPr>
            <w:tcW w:w="2601" w:type="dxa"/>
            <w:vMerge/>
            <w:tcBorders>
              <w:bottom w:val="single" w:sz="4" w:space="0" w:color="auto"/>
            </w:tcBorders>
            <w:shd w:val="clear" w:color="auto" w:fill="FFFFFF"/>
          </w:tcPr>
          <w:p w14:paraId="432D8A0F" w14:textId="77777777" w:rsidR="002D6064" w:rsidRPr="00A05EB2" w:rsidRDefault="002D6064">
            <w:pPr>
              <w:spacing w:after="0" w:line="240" w:lineRule="auto"/>
              <w:jc w:val="both"/>
              <w:rPr>
                <w:rFonts w:ascii="Times New Roman" w:hAnsi="Times New Roman" w:cs="Times New Roman"/>
                <w:b/>
              </w:rPr>
            </w:pPr>
          </w:p>
        </w:tc>
        <w:tc>
          <w:tcPr>
            <w:tcW w:w="1134" w:type="dxa"/>
            <w:tcBorders>
              <w:top w:val="single" w:sz="4" w:space="0" w:color="auto"/>
              <w:bottom w:val="single" w:sz="4" w:space="0" w:color="auto"/>
            </w:tcBorders>
            <w:shd w:val="clear" w:color="auto" w:fill="FFFFFF"/>
          </w:tcPr>
          <w:p w14:paraId="4516294E" w14:textId="77777777" w:rsidR="002D6064" w:rsidRPr="00A05EB2" w:rsidRDefault="00B17D25">
            <w:pPr>
              <w:spacing w:after="0" w:line="240" w:lineRule="auto"/>
              <w:jc w:val="both"/>
              <w:rPr>
                <w:rFonts w:ascii="Times New Roman" w:hAnsi="Times New Roman" w:cs="Times New Roman"/>
                <w:b/>
              </w:rPr>
            </w:pPr>
            <w:r w:rsidRPr="00A05EB2">
              <w:rPr>
                <w:rFonts w:ascii="Times New Roman" w:hAnsi="Times New Roman" w:cs="Times New Roman"/>
                <w:b/>
              </w:rPr>
              <w:t>Statistic</w:t>
            </w:r>
          </w:p>
        </w:tc>
        <w:tc>
          <w:tcPr>
            <w:tcW w:w="851" w:type="dxa"/>
            <w:tcBorders>
              <w:top w:val="single" w:sz="4" w:space="0" w:color="auto"/>
              <w:bottom w:val="single" w:sz="4" w:space="0" w:color="auto"/>
            </w:tcBorders>
            <w:shd w:val="clear" w:color="auto" w:fill="FFFFFF"/>
          </w:tcPr>
          <w:p w14:paraId="7E3B7697" w14:textId="77777777" w:rsidR="002D6064" w:rsidRPr="00A05EB2" w:rsidRDefault="00B17D25">
            <w:pPr>
              <w:spacing w:after="0" w:line="240" w:lineRule="auto"/>
              <w:jc w:val="both"/>
              <w:rPr>
                <w:rFonts w:ascii="Times New Roman" w:hAnsi="Times New Roman" w:cs="Times New Roman"/>
                <w:b/>
              </w:rPr>
            </w:pPr>
            <w:r w:rsidRPr="00A05EB2">
              <w:rPr>
                <w:rFonts w:ascii="Times New Roman" w:hAnsi="Times New Roman" w:cs="Times New Roman"/>
                <w:b/>
              </w:rPr>
              <w:t>df</w:t>
            </w:r>
          </w:p>
        </w:tc>
        <w:tc>
          <w:tcPr>
            <w:tcW w:w="867" w:type="dxa"/>
            <w:tcBorders>
              <w:top w:val="single" w:sz="4" w:space="0" w:color="auto"/>
              <w:bottom w:val="single" w:sz="4" w:space="0" w:color="auto"/>
            </w:tcBorders>
            <w:shd w:val="clear" w:color="auto" w:fill="FFFFFF"/>
          </w:tcPr>
          <w:p w14:paraId="4A417637" w14:textId="77777777" w:rsidR="002D6064" w:rsidRPr="00A05EB2" w:rsidRDefault="00B17D25">
            <w:pPr>
              <w:spacing w:after="0" w:line="240" w:lineRule="auto"/>
              <w:jc w:val="both"/>
              <w:rPr>
                <w:rFonts w:ascii="Times New Roman" w:hAnsi="Times New Roman" w:cs="Times New Roman"/>
                <w:b/>
              </w:rPr>
            </w:pPr>
            <w:r w:rsidRPr="00A05EB2">
              <w:rPr>
                <w:rFonts w:ascii="Times New Roman" w:hAnsi="Times New Roman" w:cs="Times New Roman"/>
                <w:b/>
              </w:rPr>
              <w:t>Sig.</w:t>
            </w:r>
          </w:p>
        </w:tc>
      </w:tr>
      <w:tr w:rsidR="002D6064" w:rsidRPr="00A05EB2" w14:paraId="27155165" w14:textId="77777777">
        <w:trPr>
          <w:jc w:val="center"/>
        </w:trPr>
        <w:tc>
          <w:tcPr>
            <w:tcW w:w="2601" w:type="dxa"/>
            <w:tcBorders>
              <w:top w:val="single" w:sz="4" w:space="0" w:color="auto"/>
            </w:tcBorders>
          </w:tcPr>
          <w:p w14:paraId="40CE736D"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Posttest Experiment</w:t>
            </w:r>
          </w:p>
        </w:tc>
        <w:tc>
          <w:tcPr>
            <w:tcW w:w="1134" w:type="dxa"/>
            <w:tcBorders>
              <w:top w:val="single" w:sz="4" w:space="0" w:color="auto"/>
            </w:tcBorders>
          </w:tcPr>
          <w:p w14:paraId="4B2EE0DB"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.114</w:t>
            </w:r>
          </w:p>
        </w:tc>
        <w:tc>
          <w:tcPr>
            <w:tcW w:w="851" w:type="dxa"/>
            <w:tcBorders>
              <w:top w:val="single" w:sz="4" w:space="0" w:color="auto"/>
            </w:tcBorders>
          </w:tcPr>
          <w:p w14:paraId="60751D9B"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34</w:t>
            </w:r>
          </w:p>
        </w:tc>
        <w:tc>
          <w:tcPr>
            <w:tcW w:w="867" w:type="dxa"/>
            <w:tcBorders>
              <w:top w:val="single" w:sz="4" w:space="0" w:color="auto"/>
            </w:tcBorders>
          </w:tcPr>
          <w:p w14:paraId="07FD9A4E"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.200*</w:t>
            </w:r>
          </w:p>
        </w:tc>
      </w:tr>
      <w:tr w:rsidR="002D6064" w:rsidRPr="00A05EB2" w14:paraId="077F6ED1" w14:textId="77777777">
        <w:trPr>
          <w:jc w:val="center"/>
        </w:trPr>
        <w:tc>
          <w:tcPr>
            <w:tcW w:w="2601" w:type="dxa"/>
            <w:tcBorders>
              <w:bottom w:val="single" w:sz="4" w:space="0" w:color="auto"/>
            </w:tcBorders>
          </w:tcPr>
          <w:p w14:paraId="77E045DD"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Posttest Control</w:t>
            </w:r>
          </w:p>
        </w:tc>
        <w:tc>
          <w:tcPr>
            <w:tcW w:w="1134" w:type="dxa"/>
            <w:tcBorders>
              <w:bottom w:val="single" w:sz="4" w:space="0" w:color="auto"/>
            </w:tcBorders>
          </w:tcPr>
          <w:p w14:paraId="71E515A2"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.141</w:t>
            </w:r>
          </w:p>
        </w:tc>
        <w:tc>
          <w:tcPr>
            <w:tcW w:w="851" w:type="dxa"/>
            <w:tcBorders>
              <w:bottom w:val="single" w:sz="4" w:space="0" w:color="auto"/>
            </w:tcBorders>
          </w:tcPr>
          <w:p w14:paraId="7C7BECD9"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34</w:t>
            </w:r>
          </w:p>
        </w:tc>
        <w:tc>
          <w:tcPr>
            <w:tcW w:w="867" w:type="dxa"/>
            <w:tcBorders>
              <w:bottom w:val="single" w:sz="4" w:space="0" w:color="auto"/>
            </w:tcBorders>
          </w:tcPr>
          <w:p w14:paraId="393A2A8E"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.082</w:t>
            </w:r>
          </w:p>
        </w:tc>
      </w:tr>
      <w:tr w:rsidR="002D6064" w:rsidRPr="00A05EB2" w14:paraId="0E62F5D7" w14:textId="77777777">
        <w:trPr>
          <w:jc w:val="center"/>
        </w:trPr>
        <w:tc>
          <w:tcPr>
            <w:tcW w:w="5453" w:type="dxa"/>
            <w:gridSpan w:val="4"/>
            <w:tcBorders>
              <w:bottom w:val="single" w:sz="4" w:space="0" w:color="auto"/>
            </w:tcBorders>
          </w:tcPr>
          <w:p w14:paraId="3ECB0A9D"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 This is a lower bound of the true significance.</w:t>
            </w:r>
          </w:p>
        </w:tc>
      </w:tr>
      <w:tr w:rsidR="002D6064" w:rsidRPr="00A05EB2" w14:paraId="4BF535C6" w14:textId="77777777">
        <w:trPr>
          <w:jc w:val="center"/>
        </w:trPr>
        <w:tc>
          <w:tcPr>
            <w:tcW w:w="5453" w:type="dxa"/>
            <w:gridSpan w:val="4"/>
            <w:tcBorders>
              <w:bottom w:val="single" w:sz="4" w:space="0" w:color="auto"/>
            </w:tcBorders>
          </w:tcPr>
          <w:p w14:paraId="057DF38E" w14:textId="77777777" w:rsidR="002D6064" w:rsidRPr="00A05EB2" w:rsidRDefault="00B17D25">
            <w:pPr>
              <w:spacing w:after="0" w:line="240" w:lineRule="auto"/>
              <w:jc w:val="both"/>
              <w:rPr>
                <w:rFonts w:ascii="Times New Roman" w:hAnsi="Times New Roman" w:cs="Times New Roman"/>
                <w:bCs/>
              </w:rPr>
            </w:pPr>
            <w:r w:rsidRPr="00A05EB2">
              <w:rPr>
                <w:rFonts w:ascii="Times New Roman" w:hAnsi="Times New Roman" w:cs="Times New Roman"/>
                <w:bCs/>
              </w:rPr>
              <w:t>a. Lilliefors Significance Correction</w:t>
            </w:r>
          </w:p>
        </w:tc>
      </w:tr>
    </w:tbl>
    <w:p w14:paraId="191CC6B2" w14:textId="77777777" w:rsidR="002D6064" w:rsidRPr="00A05EB2" w:rsidRDefault="002D6064">
      <w:pPr>
        <w:spacing w:after="0" w:line="240" w:lineRule="auto"/>
        <w:jc w:val="both"/>
        <w:rPr>
          <w:rFonts w:ascii="Times New Roman" w:hAnsi="Times New Roman" w:cs="Times New Roman"/>
          <w:bCs/>
        </w:rPr>
      </w:pPr>
    </w:p>
    <w:p w14:paraId="67FA21EA" w14:textId="6B976564" w:rsidR="001F7E08" w:rsidRDefault="00B17D25" w:rsidP="001F7E08">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Referring to the provided table, if the threshold is greater than 0.05, it is possible to accept the hypothesis that the dependent variable follows a normal distribution. According to Kolmogorov Smirnov, the significance value of the </w:t>
      </w:r>
      <w:r>
        <w:rPr>
          <w:rFonts w:ascii="Times New Roman" w:hAnsi="Times New Roman" w:cs="Times New Roman"/>
          <w:bCs/>
          <w:sz w:val="24"/>
          <w:szCs w:val="24"/>
        </w:rPr>
        <w:lastRenderedPageBreak/>
        <w:t>posttest experiment is 0.200 &gt; 0.05. Then, the significance value of the posttest control is 0.082 &gt; 0.05. Based on this, all data are declared to be normally distributed.</w:t>
      </w:r>
    </w:p>
    <w:p w14:paraId="2A19A4EA" w14:textId="77777777" w:rsidR="001F7E08" w:rsidRDefault="001F7E08" w:rsidP="001F7E08">
      <w:pPr>
        <w:spacing w:after="0" w:line="240" w:lineRule="auto"/>
        <w:ind w:firstLine="567"/>
        <w:jc w:val="both"/>
        <w:rPr>
          <w:rFonts w:ascii="Times New Roman" w:hAnsi="Times New Roman" w:cs="Times New Roman"/>
          <w:bCs/>
          <w:sz w:val="24"/>
          <w:szCs w:val="24"/>
        </w:rPr>
      </w:pPr>
    </w:p>
    <w:p w14:paraId="03E0A4AA" w14:textId="24623E3B" w:rsidR="002D6064" w:rsidRPr="001F7E08" w:rsidRDefault="00B17D25" w:rsidP="001F7E08">
      <w:pPr>
        <w:spacing w:after="0" w:line="240" w:lineRule="auto"/>
        <w:jc w:val="both"/>
        <w:rPr>
          <w:rFonts w:ascii="Book Antiqua" w:hAnsi="Book Antiqua" w:cs="Times New Roman"/>
          <w:bCs/>
          <w:sz w:val="24"/>
          <w:szCs w:val="24"/>
        </w:rPr>
      </w:pPr>
      <w:r w:rsidRPr="001F7E08">
        <w:rPr>
          <w:rFonts w:ascii="Book Antiqua" w:hAnsi="Book Antiqua" w:cs="Times New Roman"/>
          <w:b/>
          <w:bCs/>
          <w:sz w:val="24"/>
          <w:szCs w:val="24"/>
        </w:rPr>
        <w:t>Homogeneity Test</w:t>
      </w:r>
    </w:p>
    <w:p w14:paraId="5C19B53E" w14:textId="77777777"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A homogeneity test is a necessary criterion for evaluating data using ANOVA. The homogeneity test aims to ascertain the presence of homogeneity in the population variance.</w:t>
      </w:r>
    </w:p>
    <w:p w14:paraId="614B0129" w14:textId="77777777" w:rsidR="002D6064" w:rsidRDefault="00B17D25" w:rsidP="001F7E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6. Homogeneity Test</w:t>
      </w:r>
    </w:p>
    <w:tbl>
      <w:tblPr>
        <w:tblW w:w="5153" w:type="dxa"/>
        <w:jc w:val="center"/>
        <w:tblLayout w:type="fixed"/>
        <w:tblLook w:val="04A0" w:firstRow="1" w:lastRow="0" w:firstColumn="1" w:lastColumn="0" w:noHBand="0" w:noVBand="1"/>
      </w:tblPr>
      <w:tblGrid>
        <w:gridCol w:w="1326"/>
        <w:gridCol w:w="1417"/>
        <w:gridCol w:w="1418"/>
        <w:gridCol w:w="992"/>
      </w:tblGrid>
      <w:tr w:rsidR="002D6064" w14:paraId="4666C154" w14:textId="77777777">
        <w:trPr>
          <w:jc w:val="center"/>
        </w:trPr>
        <w:tc>
          <w:tcPr>
            <w:tcW w:w="5153" w:type="dxa"/>
            <w:gridSpan w:val="4"/>
            <w:tcBorders>
              <w:top w:val="single" w:sz="4" w:space="0" w:color="auto"/>
              <w:bottom w:val="single" w:sz="4" w:space="0" w:color="auto"/>
            </w:tcBorders>
            <w:shd w:val="clear" w:color="auto" w:fill="FFFFFF"/>
            <w:vAlign w:val="center"/>
          </w:tcPr>
          <w:p w14:paraId="1578627B"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Levene’s Test of Equality of Error Variances</w:t>
            </w:r>
            <w:r w:rsidRPr="00A05EB2">
              <w:rPr>
                <w:rFonts w:ascii="Times New Roman" w:hAnsi="Times New Roman" w:cs="Times New Roman"/>
                <w:b/>
                <w:vertAlign w:val="superscript"/>
              </w:rPr>
              <w:t>a,b</w:t>
            </w:r>
          </w:p>
        </w:tc>
      </w:tr>
      <w:tr w:rsidR="002D6064" w14:paraId="5DFA1885" w14:textId="77777777">
        <w:trPr>
          <w:jc w:val="center"/>
        </w:trPr>
        <w:tc>
          <w:tcPr>
            <w:tcW w:w="5153" w:type="dxa"/>
            <w:gridSpan w:val="4"/>
            <w:tcBorders>
              <w:top w:val="single" w:sz="4" w:space="0" w:color="auto"/>
              <w:bottom w:val="single" w:sz="4" w:space="0" w:color="auto"/>
            </w:tcBorders>
            <w:shd w:val="clear" w:color="auto" w:fill="FFFFFF"/>
            <w:vAlign w:val="center"/>
          </w:tcPr>
          <w:p w14:paraId="6F1399A4" w14:textId="77777777" w:rsidR="002D6064" w:rsidRPr="00A05EB2" w:rsidRDefault="00B17D25">
            <w:pPr>
              <w:spacing w:after="0" w:line="240" w:lineRule="auto"/>
              <w:rPr>
                <w:rFonts w:ascii="Times New Roman" w:hAnsi="Times New Roman" w:cs="Times New Roman"/>
              </w:rPr>
            </w:pPr>
            <w:r w:rsidRPr="00A05EB2">
              <w:rPr>
                <w:rFonts w:ascii="Times New Roman" w:hAnsi="Times New Roman" w:cs="Times New Roman"/>
              </w:rPr>
              <w:t>Dependent Variable: Reading Skill</w:t>
            </w:r>
          </w:p>
        </w:tc>
      </w:tr>
      <w:tr w:rsidR="002D6064" w14:paraId="42698E34" w14:textId="77777777">
        <w:trPr>
          <w:jc w:val="center"/>
        </w:trPr>
        <w:tc>
          <w:tcPr>
            <w:tcW w:w="1326" w:type="dxa"/>
            <w:tcBorders>
              <w:top w:val="single" w:sz="4" w:space="0" w:color="auto"/>
              <w:bottom w:val="single" w:sz="4" w:space="0" w:color="auto"/>
            </w:tcBorders>
            <w:shd w:val="clear" w:color="auto" w:fill="FFFFFF"/>
            <w:vAlign w:val="center"/>
          </w:tcPr>
          <w:p w14:paraId="5E8B8E8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F</w:t>
            </w:r>
          </w:p>
        </w:tc>
        <w:tc>
          <w:tcPr>
            <w:tcW w:w="1417" w:type="dxa"/>
            <w:tcBorders>
              <w:top w:val="single" w:sz="4" w:space="0" w:color="auto"/>
              <w:bottom w:val="single" w:sz="4" w:space="0" w:color="auto"/>
            </w:tcBorders>
            <w:shd w:val="clear" w:color="auto" w:fill="FFFFFF"/>
            <w:vAlign w:val="center"/>
          </w:tcPr>
          <w:p w14:paraId="2AE8376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df1</w:t>
            </w:r>
          </w:p>
        </w:tc>
        <w:tc>
          <w:tcPr>
            <w:tcW w:w="1418" w:type="dxa"/>
            <w:tcBorders>
              <w:top w:val="single" w:sz="4" w:space="0" w:color="auto"/>
              <w:bottom w:val="single" w:sz="4" w:space="0" w:color="auto"/>
            </w:tcBorders>
            <w:shd w:val="clear" w:color="auto" w:fill="FFFFFF"/>
            <w:vAlign w:val="center"/>
          </w:tcPr>
          <w:p w14:paraId="29A11F4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df2</w:t>
            </w:r>
          </w:p>
        </w:tc>
        <w:tc>
          <w:tcPr>
            <w:tcW w:w="992" w:type="dxa"/>
            <w:tcBorders>
              <w:top w:val="single" w:sz="4" w:space="0" w:color="auto"/>
              <w:bottom w:val="single" w:sz="4" w:space="0" w:color="auto"/>
            </w:tcBorders>
            <w:shd w:val="clear" w:color="auto" w:fill="FFFFFF"/>
            <w:vAlign w:val="center"/>
          </w:tcPr>
          <w:p w14:paraId="253A2351"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Sig.</w:t>
            </w:r>
          </w:p>
        </w:tc>
      </w:tr>
      <w:tr w:rsidR="002D6064" w14:paraId="18E50390" w14:textId="77777777">
        <w:trPr>
          <w:jc w:val="center"/>
        </w:trPr>
        <w:tc>
          <w:tcPr>
            <w:tcW w:w="1326" w:type="dxa"/>
            <w:tcBorders>
              <w:top w:val="single" w:sz="4" w:space="0" w:color="auto"/>
              <w:bottom w:val="single" w:sz="4" w:space="0" w:color="auto"/>
            </w:tcBorders>
            <w:vAlign w:val="center"/>
          </w:tcPr>
          <w:p w14:paraId="66812812"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.612</w:t>
            </w:r>
          </w:p>
        </w:tc>
        <w:tc>
          <w:tcPr>
            <w:tcW w:w="1417" w:type="dxa"/>
            <w:tcBorders>
              <w:top w:val="single" w:sz="4" w:space="0" w:color="auto"/>
              <w:bottom w:val="single" w:sz="4" w:space="0" w:color="auto"/>
            </w:tcBorders>
            <w:vAlign w:val="center"/>
          </w:tcPr>
          <w:p w14:paraId="03EB29D0"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w:t>
            </w:r>
          </w:p>
        </w:tc>
        <w:tc>
          <w:tcPr>
            <w:tcW w:w="1418" w:type="dxa"/>
            <w:tcBorders>
              <w:top w:val="single" w:sz="4" w:space="0" w:color="auto"/>
              <w:bottom w:val="single" w:sz="4" w:space="0" w:color="auto"/>
            </w:tcBorders>
            <w:vAlign w:val="center"/>
          </w:tcPr>
          <w:p w14:paraId="6FAFB9EC"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64</w:t>
            </w:r>
          </w:p>
        </w:tc>
        <w:tc>
          <w:tcPr>
            <w:tcW w:w="992" w:type="dxa"/>
            <w:tcBorders>
              <w:top w:val="single" w:sz="4" w:space="0" w:color="auto"/>
              <w:bottom w:val="single" w:sz="4" w:space="0" w:color="auto"/>
            </w:tcBorders>
            <w:vAlign w:val="center"/>
          </w:tcPr>
          <w:p w14:paraId="437C76C4"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.610</w:t>
            </w:r>
          </w:p>
        </w:tc>
      </w:tr>
      <w:tr w:rsidR="002D6064" w14:paraId="5326CFBD" w14:textId="77777777">
        <w:trPr>
          <w:jc w:val="center"/>
        </w:trPr>
        <w:tc>
          <w:tcPr>
            <w:tcW w:w="5153" w:type="dxa"/>
            <w:gridSpan w:val="4"/>
            <w:tcBorders>
              <w:top w:val="single" w:sz="4" w:space="0" w:color="auto"/>
              <w:bottom w:val="single" w:sz="4" w:space="0" w:color="auto"/>
            </w:tcBorders>
            <w:vAlign w:val="center"/>
          </w:tcPr>
          <w:p w14:paraId="24C6744B"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Tests the null hypothesis that the error variance of the dependent variable is equal across groups</w:t>
            </w:r>
          </w:p>
          <w:p w14:paraId="6C6837F0"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 Dependent variable: Reading Skill</w:t>
            </w:r>
          </w:p>
          <w:p w14:paraId="7536D218"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b. Design: Intercept + A + B + A * B</w:t>
            </w:r>
          </w:p>
        </w:tc>
      </w:tr>
    </w:tbl>
    <w:p w14:paraId="12FC6A97" w14:textId="77777777" w:rsidR="002D6064" w:rsidRDefault="002D6064">
      <w:pPr>
        <w:spacing w:after="0" w:line="240" w:lineRule="auto"/>
        <w:jc w:val="both"/>
        <w:rPr>
          <w:rFonts w:ascii="Times New Roman" w:hAnsi="Times New Roman" w:cs="Times New Roman"/>
          <w:bCs/>
          <w:sz w:val="24"/>
          <w:szCs w:val="24"/>
        </w:rPr>
      </w:pPr>
    </w:p>
    <w:p w14:paraId="7891F007" w14:textId="0B323852" w:rsidR="002D6064" w:rsidRDefault="00B17D2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The Sig value is generated from the computation of the data using SPSS 26. Since the value of 0.610 is greater than 0.05, we can conclude that the null hypothesis (H0) is accepted and the alternative hypothesis (Ha) is rejected. This indicates that the data is derived from a homogeneous population.</w:t>
      </w:r>
    </w:p>
    <w:p w14:paraId="2A63CD08" w14:textId="77777777" w:rsidR="001F7E08" w:rsidRDefault="001F7E08" w:rsidP="001F7E08">
      <w:pPr>
        <w:pStyle w:val="ListParagraph"/>
        <w:spacing w:after="0" w:line="240" w:lineRule="auto"/>
        <w:ind w:left="0"/>
        <w:jc w:val="both"/>
        <w:rPr>
          <w:rFonts w:ascii="Times New Roman" w:hAnsi="Times New Roman" w:cs="Times New Roman"/>
          <w:b/>
          <w:bCs/>
          <w:sz w:val="24"/>
          <w:szCs w:val="24"/>
        </w:rPr>
      </w:pPr>
    </w:p>
    <w:p w14:paraId="11B24032" w14:textId="1D53940F" w:rsidR="002D6064" w:rsidRPr="001F7E08" w:rsidRDefault="00B17D25" w:rsidP="001F7E08">
      <w:pPr>
        <w:pStyle w:val="ListParagraph"/>
        <w:spacing w:after="0" w:line="240" w:lineRule="auto"/>
        <w:ind w:left="0"/>
        <w:jc w:val="both"/>
        <w:rPr>
          <w:rFonts w:ascii="Book Antiqua" w:hAnsi="Book Antiqua" w:cs="Times New Roman"/>
          <w:b/>
          <w:bCs/>
          <w:sz w:val="24"/>
          <w:szCs w:val="24"/>
        </w:rPr>
      </w:pPr>
      <w:r w:rsidRPr="001F7E08">
        <w:rPr>
          <w:rFonts w:ascii="Book Antiqua" w:hAnsi="Book Antiqua" w:cs="Times New Roman"/>
          <w:b/>
          <w:bCs/>
          <w:sz w:val="24"/>
          <w:szCs w:val="24"/>
        </w:rPr>
        <w:t>Hypothesis Test</w:t>
      </w:r>
    </w:p>
    <w:p w14:paraId="7E55772E" w14:textId="77777777" w:rsidR="002D6064" w:rsidRDefault="00B17D25">
      <w:pPr>
        <w:spacing w:after="0" w:line="240" w:lineRule="auto"/>
        <w:jc w:val="both"/>
        <w:rPr>
          <w:rFonts w:ascii="Times New Roman" w:hAnsi="Times New Roman" w:cs="Times New Roman"/>
          <w:bCs/>
          <w:sz w:val="24"/>
          <w:szCs w:val="24"/>
        </w:rPr>
      </w:pPr>
      <w:r>
        <w:rPr>
          <w:rFonts w:ascii="Times New Roman" w:hAnsi="Times New Roman"/>
          <w:bCs/>
          <w:sz w:val="24"/>
          <w:szCs w:val="24"/>
        </w:rPr>
        <w:t>Two-way ANOVA was used to examine research hypothesis testing in order to ascertain the impact and intergroup interactions.</w:t>
      </w:r>
    </w:p>
    <w:p w14:paraId="2FCA28AE" w14:textId="77777777" w:rsidR="002D6064" w:rsidRDefault="00B17D25" w:rsidP="001F7E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7. Two-Way ANOVA</w:t>
      </w:r>
    </w:p>
    <w:tbl>
      <w:tblPr>
        <w:tblW w:w="7847" w:type="dxa"/>
        <w:jc w:val="center"/>
        <w:tblLayout w:type="fixed"/>
        <w:tblLook w:val="04A0" w:firstRow="1" w:lastRow="0" w:firstColumn="1" w:lastColumn="0" w:noHBand="0" w:noVBand="1"/>
      </w:tblPr>
      <w:tblGrid>
        <w:gridCol w:w="2036"/>
        <w:gridCol w:w="1417"/>
        <w:gridCol w:w="942"/>
        <w:gridCol w:w="1468"/>
        <w:gridCol w:w="1225"/>
        <w:gridCol w:w="759"/>
      </w:tblGrid>
      <w:tr w:rsidR="002D6064" w:rsidRPr="00A05EB2" w14:paraId="5CDBC2CE" w14:textId="77777777">
        <w:trPr>
          <w:jc w:val="center"/>
        </w:trPr>
        <w:tc>
          <w:tcPr>
            <w:tcW w:w="7847" w:type="dxa"/>
            <w:gridSpan w:val="6"/>
            <w:tcBorders>
              <w:top w:val="single" w:sz="4" w:space="0" w:color="auto"/>
              <w:bottom w:val="single" w:sz="4" w:space="0" w:color="auto"/>
            </w:tcBorders>
            <w:shd w:val="clear" w:color="auto" w:fill="FFFFFF"/>
            <w:vAlign w:val="center"/>
          </w:tcPr>
          <w:p w14:paraId="7987768C"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Tests of Between-Subjects Effects</w:t>
            </w:r>
          </w:p>
        </w:tc>
      </w:tr>
      <w:tr w:rsidR="002D6064" w:rsidRPr="00A05EB2" w14:paraId="60F7B0A6" w14:textId="77777777">
        <w:trPr>
          <w:jc w:val="center"/>
        </w:trPr>
        <w:tc>
          <w:tcPr>
            <w:tcW w:w="7847" w:type="dxa"/>
            <w:gridSpan w:val="6"/>
            <w:tcBorders>
              <w:top w:val="single" w:sz="4" w:space="0" w:color="auto"/>
              <w:bottom w:val="single" w:sz="4" w:space="0" w:color="auto"/>
            </w:tcBorders>
            <w:shd w:val="clear" w:color="auto" w:fill="FFFFFF"/>
            <w:vAlign w:val="center"/>
          </w:tcPr>
          <w:p w14:paraId="75CD530B" w14:textId="77777777" w:rsidR="002D6064" w:rsidRPr="00A05EB2" w:rsidRDefault="00B17D25">
            <w:pPr>
              <w:spacing w:after="0" w:line="240" w:lineRule="auto"/>
              <w:rPr>
                <w:rFonts w:ascii="Times New Roman" w:hAnsi="Times New Roman" w:cs="Times New Roman"/>
              </w:rPr>
            </w:pPr>
            <w:r w:rsidRPr="00A05EB2">
              <w:rPr>
                <w:rFonts w:ascii="Times New Roman" w:hAnsi="Times New Roman" w:cs="Times New Roman"/>
              </w:rPr>
              <w:t>Dependent Variable: Reading Skill</w:t>
            </w:r>
          </w:p>
        </w:tc>
      </w:tr>
      <w:tr w:rsidR="002D6064" w:rsidRPr="00A05EB2" w14:paraId="4AEBE432" w14:textId="77777777">
        <w:trPr>
          <w:jc w:val="center"/>
        </w:trPr>
        <w:tc>
          <w:tcPr>
            <w:tcW w:w="2036" w:type="dxa"/>
            <w:tcBorders>
              <w:top w:val="single" w:sz="4" w:space="0" w:color="auto"/>
              <w:bottom w:val="single" w:sz="4" w:space="0" w:color="auto"/>
            </w:tcBorders>
            <w:shd w:val="clear" w:color="auto" w:fill="FFFFFF"/>
            <w:vAlign w:val="center"/>
          </w:tcPr>
          <w:p w14:paraId="1940C0A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 xml:space="preserve">Source </w:t>
            </w:r>
          </w:p>
        </w:tc>
        <w:tc>
          <w:tcPr>
            <w:tcW w:w="1417" w:type="dxa"/>
            <w:tcBorders>
              <w:top w:val="single" w:sz="4" w:space="0" w:color="auto"/>
              <w:bottom w:val="single" w:sz="4" w:space="0" w:color="auto"/>
            </w:tcBorders>
            <w:shd w:val="clear" w:color="auto" w:fill="FFFFFF"/>
            <w:vAlign w:val="center"/>
          </w:tcPr>
          <w:p w14:paraId="642A785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Type III Sum of Squares</w:t>
            </w:r>
          </w:p>
        </w:tc>
        <w:tc>
          <w:tcPr>
            <w:tcW w:w="942" w:type="dxa"/>
            <w:tcBorders>
              <w:top w:val="single" w:sz="4" w:space="0" w:color="auto"/>
              <w:bottom w:val="single" w:sz="4" w:space="0" w:color="auto"/>
            </w:tcBorders>
            <w:shd w:val="clear" w:color="auto" w:fill="FFFFFF"/>
            <w:vAlign w:val="center"/>
          </w:tcPr>
          <w:p w14:paraId="4C568C2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df</w:t>
            </w:r>
          </w:p>
        </w:tc>
        <w:tc>
          <w:tcPr>
            <w:tcW w:w="1468" w:type="dxa"/>
            <w:tcBorders>
              <w:top w:val="single" w:sz="4" w:space="0" w:color="auto"/>
              <w:bottom w:val="single" w:sz="4" w:space="0" w:color="auto"/>
            </w:tcBorders>
            <w:shd w:val="clear" w:color="auto" w:fill="FFFFFF"/>
            <w:vAlign w:val="center"/>
          </w:tcPr>
          <w:p w14:paraId="2F4A7327"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Mean Square</w:t>
            </w:r>
          </w:p>
        </w:tc>
        <w:tc>
          <w:tcPr>
            <w:tcW w:w="1225" w:type="dxa"/>
            <w:tcBorders>
              <w:top w:val="single" w:sz="4" w:space="0" w:color="auto"/>
              <w:bottom w:val="single" w:sz="4" w:space="0" w:color="auto"/>
            </w:tcBorders>
            <w:shd w:val="clear" w:color="auto" w:fill="FFFFFF"/>
          </w:tcPr>
          <w:p w14:paraId="56307C9A"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F</w:t>
            </w:r>
          </w:p>
        </w:tc>
        <w:tc>
          <w:tcPr>
            <w:tcW w:w="759" w:type="dxa"/>
            <w:tcBorders>
              <w:top w:val="single" w:sz="4" w:space="0" w:color="auto"/>
              <w:bottom w:val="single" w:sz="4" w:space="0" w:color="auto"/>
            </w:tcBorders>
            <w:shd w:val="clear" w:color="auto" w:fill="FFFFFF"/>
          </w:tcPr>
          <w:p w14:paraId="1D290D31"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Sig.</w:t>
            </w:r>
          </w:p>
        </w:tc>
      </w:tr>
      <w:tr w:rsidR="002D6064" w:rsidRPr="00A05EB2" w14:paraId="2B6F087A" w14:textId="77777777">
        <w:trPr>
          <w:jc w:val="center"/>
        </w:trPr>
        <w:tc>
          <w:tcPr>
            <w:tcW w:w="2036" w:type="dxa"/>
            <w:tcBorders>
              <w:top w:val="single" w:sz="4" w:space="0" w:color="auto"/>
              <w:bottom w:val="single" w:sz="4" w:space="0" w:color="auto"/>
            </w:tcBorders>
            <w:vAlign w:val="center"/>
          </w:tcPr>
          <w:p w14:paraId="569E325F"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Corrected Model</w:t>
            </w:r>
          </w:p>
        </w:tc>
        <w:tc>
          <w:tcPr>
            <w:tcW w:w="1417" w:type="dxa"/>
            <w:tcBorders>
              <w:top w:val="single" w:sz="4" w:space="0" w:color="auto"/>
              <w:bottom w:val="single" w:sz="4" w:space="0" w:color="auto"/>
            </w:tcBorders>
            <w:vAlign w:val="center"/>
          </w:tcPr>
          <w:p w14:paraId="0DFF490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6701.637</w:t>
            </w:r>
            <w:r w:rsidRPr="00A05EB2">
              <w:rPr>
                <w:rFonts w:ascii="Times New Roman" w:hAnsi="Times New Roman" w:cs="Times New Roman"/>
                <w:bCs/>
                <w:vertAlign w:val="superscript"/>
              </w:rPr>
              <w:t>a</w:t>
            </w:r>
          </w:p>
        </w:tc>
        <w:tc>
          <w:tcPr>
            <w:tcW w:w="942" w:type="dxa"/>
            <w:tcBorders>
              <w:top w:val="single" w:sz="4" w:space="0" w:color="auto"/>
              <w:bottom w:val="single" w:sz="4" w:space="0" w:color="auto"/>
            </w:tcBorders>
            <w:vAlign w:val="center"/>
          </w:tcPr>
          <w:p w14:paraId="15A1FF5E"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w:t>
            </w:r>
          </w:p>
        </w:tc>
        <w:tc>
          <w:tcPr>
            <w:tcW w:w="1468" w:type="dxa"/>
            <w:tcBorders>
              <w:top w:val="single" w:sz="4" w:space="0" w:color="auto"/>
              <w:bottom w:val="single" w:sz="4" w:space="0" w:color="auto"/>
            </w:tcBorders>
            <w:vAlign w:val="center"/>
          </w:tcPr>
          <w:p w14:paraId="02CE80D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2233.879</w:t>
            </w:r>
          </w:p>
        </w:tc>
        <w:tc>
          <w:tcPr>
            <w:tcW w:w="1225" w:type="dxa"/>
            <w:tcBorders>
              <w:top w:val="single" w:sz="4" w:space="0" w:color="auto"/>
              <w:bottom w:val="single" w:sz="4" w:space="0" w:color="auto"/>
            </w:tcBorders>
            <w:vAlign w:val="center"/>
          </w:tcPr>
          <w:p w14:paraId="473224E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60.233</w:t>
            </w:r>
          </w:p>
        </w:tc>
        <w:tc>
          <w:tcPr>
            <w:tcW w:w="759" w:type="dxa"/>
            <w:tcBorders>
              <w:top w:val="single" w:sz="4" w:space="0" w:color="auto"/>
              <w:bottom w:val="single" w:sz="4" w:space="0" w:color="auto"/>
            </w:tcBorders>
            <w:vAlign w:val="center"/>
          </w:tcPr>
          <w:p w14:paraId="69BDA4F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.000</w:t>
            </w:r>
          </w:p>
        </w:tc>
      </w:tr>
      <w:tr w:rsidR="002D6064" w:rsidRPr="00A05EB2" w14:paraId="2F5DF784" w14:textId="77777777">
        <w:trPr>
          <w:jc w:val="center"/>
        </w:trPr>
        <w:tc>
          <w:tcPr>
            <w:tcW w:w="2036" w:type="dxa"/>
            <w:tcBorders>
              <w:top w:val="single" w:sz="4" w:space="0" w:color="auto"/>
              <w:bottom w:val="single" w:sz="4" w:space="0" w:color="auto"/>
            </w:tcBorders>
            <w:vAlign w:val="center"/>
          </w:tcPr>
          <w:p w14:paraId="5DA4FB3F"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Intercept</w:t>
            </w:r>
          </w:p>
        </w:tc>
        <w:tc>
          <w:tcPr>
            <w:tcW w:w="1417" w:type="dxa"/>
            <w:tcBorders>
              <w:top w:val="single" w:sz="4" w:space="0" w:color="auto"/>
              <w:bottom w:val="single" w:sz="4" w:space="0" w:color="auto"/>
            </w:tcBorders>
            <w:vAlign w:val="center"/>
          </w:tcPr>
          <w:p w14:paraId="1D47924E"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302293.381</w:t>
            </w:r>
          </w:p>
        </w:tc>
        <w:tc>
          <w:tcPr>
            <w:tcW w:w="942" w:type="dxa"/>
            <w:tcBorders>
              <w:top w:val="single" w:sz="4" w:space="0" w:color="auto"/>
              <w:bottom w:val="single" w:sz="4" w:space="0" w:color="auto"/>
            </w:tcBorders>
            <w:vAlign w:val="center"/>
          </w:tcPr>
          <w:p w14:paraId="5DC47BD2"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w:t>
            </w:r>
          </w:p>
        </w:tc>
        <w:tc>
          <w:tcPr>
            <w:tcW w:w="1468" w:type="dxa"/>
            <w:tcBorders>
              <w:top w:val="single" w:sz="4" w:space="0" w:color="auto"/>
              <w:bottom w:val="single" w:sz="4" w:space="0" w:color="auto"/>
            </w:tcBorders>
            <w:vAlign w:val="center"/>
          </w:tcPr>
          <w:p w14:paraId="55CF1E0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302293.381</w:t>
            </w:r>
          </w:p>
        </w:tc>
        <w:tc>
          <w:tcPr>
            <w:tcW w:w="1225" w:type="dxa"/>
            <w:tcBorders>
              <w:top w:val="single" w:sz="4" w:space="0" w:color="auto"/>
              <w:bottom w:val="single" w:sz="4" w:space="0" w:color="auto"/>
            </w:tcBorders>
            <w:vAlign w:val="center"/>
          </w:tcPr>
          <w:p w14:paraId="05C0AEBF"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8150.822</w:t>
            </w:r>
          </w:p>
        </w:tc>
        <w:tc>
          <w:tcPr>
            <w:tcW w:w="759" w:type="dxa"/>
            <w:tcBorders>
              <w:top w:val="single" w:sz="4" w:space="0" w:color="auto"/>
              <w:bottom w:val="single" w:sz="4" w:space="0" w:color="auto"/>
            </w:tcBorders>
            <w:vAlign w:val="center"/>
          </w:tcPr>
          <w:p w14:paraId="4BFC769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.000</w:t>
            </w:r>
          </w:p>
        </w:tc>
      </w:tr>
      <w:tr w:rsidR="002D6064" w:rsidRPr="00A05EB2" w14:paraId="6AA148BD" w14:textId="77777777">
        <w:trPr>
          <w:jc w:val="center"/>
        </w:trPr>
        <w:tc>
          <w:tcPr>
            <w:tcW w:w="2036" w:type="dxa"/>
            <w:tcBorders>
              <w:top w:val="single" w:sz="4" w:space="0" w:color="auto"/>
              <w:bottom w:val="single" w:sz="4" w:space="0" w:color="auto"/>
            </w:tcBorders>
            <w:vAlign w:val="center"/>
          </w:tcPr>
          <w:p w14:paraId="42ED3E12"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w:t>
            </w:r>
          </w:p>
        </w:tc>
        <w:tc>
          <w:tcPr>
            <w:tcW w:w="1417" w:type="dxa"/>
            <w:tcBorders>
              <w:top w:val="single" w:sz="4" w:space="0" w:color="auto"/>
              <w:bottom w:val="single" w:sz="4" w:space="0" w:color="auto"/>
            </w:tcBorders>
            <w:vAlign w:val="center"/>
          </w:tcPr>
          <w:p w14:paraId="22731E7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165.139</w:t>
            </w:r>
          </w:p>
        </w:tc>
        <w:tc>
          <w:tcPr>
            <w:tcW w:w="942" w:type="dxa"/>
            <w:tcBorders>
              <w:top w:val="single" w:sz="4" w:space="0" w:color="auto"/>
              <w:bottom w:val="single" w:sz="4" w:space="0" w:color="auto"/>
            </w:tcBorders>
            <w:vAlign w:val="center"/>
          </w:tcPr>
          <w:p w14:paraId="3563B017"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w:t>
            </w:r>
          </w:p>
        </w:tc>
        <w:tc>
          <w:tcPr>
            <w:tcW w:w="1468" w:type="dxa"/>
            <w:tcBorders>
              <w:top w:val="single" w:sz="4" w:space="0" w:color="auto"/>
              <w:bottom w:val="single" w:sz="4" w:space="0" w:color="auto"/>
            </w:tcBorders>
            <w:vAlign w:val="center"/>
          </w:tcPr>
          <w:p w14:paraId="4C67306E"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165.139</w:t>
            </w:r>
          </w:p>
        </w:tc>
        <w:tc>
          <w:tcPr>
            <w:tcW w:w="1225" w:type="dxa"/>
            <w:tcBorders>
              <w:top w:val="single" w:sz="4" w:space="0" w:color="auto"/>
              <w:bottom w:val="single" w:sz="4" w:space="0" w:color="auto"/>
            </w:tcBorders>
            <w:vAlign w:val="center"/>
          </w:tcPr>
          <w:p w14:paraId="2DB9D02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4.453</w:t>
            </w:r>
          </w:p>
        </w:tc>
        <w:tc>
          <w:tcPr>
            <w:tcW w:w="759" w:type="dxa"/>
            <w:tcBorders>
              <w:top w:val="single" w:sz="4" w:space="0" w:color="auto"/>
              <w:bottom w:val="single" w:sz="4" w:space="0" w:color="auto"/>
            </w:tcBorders>
            <w:vAlign w:val="center"/>
          </w:tcPr>
          <w:p w14:paraId="4C72C94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.039</w:t>
            </w:r>
          </w:p>
        </w:tc>
      </w:tr>
      <w:tr w:rsidR="002D6064" w:rsidRPr="00A05EB2" w14:paraId="2250DB62" w14:textId="77777777">
        <w:trPr>
          <w:jc w:val="center"/>
        </w:trPr>
        <w:tc>
          <w:tcPr>
            <w:tcW w:w="2036" w:type="dxa"/>
            <w:tcBorders>
              <w:top w:val="single" w:sz="4" w:space="0" w:color="auto"/>
              <w:bottom w:val="single" w:sz="4" w:space="0" w:color="auto"/>
            </w:tcBorders>
            <w:vAlign w:val="center"/>
          </w:tcPr>
          <w:p w14:paraId="48707C96"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B</w:t>
            </w:r>
          </w:p>
        </w:tc>
        <w:tc>
          <w:tcPr>
            <w:tcW w:w="1417" w:type="dxa"/>
            <w:tcBorders>
              <w:top w:val="single" w:sz="4" w:space="0" w:color="auto"/>
              <w:bottom w:val="single" w:sz="4" w:space="0" w:color="auto"/>
            </w:tcBorders>
            <w:vAlign w:val="center"/>
          </w:tcPr>
          <w:p w14:paraId="1E685EF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6051.367</w:t>
            </w:r>
          </w:p>
        </w:tc>
        <w:tc>
          <w:tcPr>
            <w:tcW w:w="942" w:type="dxa"/>
            <w:tcBorders>
              <w:top w:val="single" w:sz="4" w:space="0" w:color="auto"/>
              <w:bottom w:val="single" w:sz="4" w:space="0" w:color="auto"/>
            </w:tcBorders>
            <w:vAlign w:val="center"/>
          </w:tcPr>
          <w:p w14:paraId="2510B0E1"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w:t>
            </w:r>
          </w:p>
        </w:tc>
        <w:tc>
          <w:tcPr>
            <w:tcW w:w="1468" w:type="dxa"/>
            <w:tcBorders>
              <w:top w:val="single" w:sz="4" w:space="0" w:color="auto"/>
              <w:bottom w:val="single" w:sz="4" w:space="0" w:color="auto"/>
            </w:tcBorders>
            <w:vAlign w:val="center"/>
          </w:tcPr>
          <w:p w14:paraId="0C5E7E95"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6051.367</w:t>
            </w:r>
          </w:p>
        </w:tc>
        <w:tc>
          <w:tcPr>
            <w:tcW w:w="1225" w:type="dxa"/>
            <w:tcBorders>
              <w:top w:val="single" w:sz="4" w:space="0" w:color="auto"/>
              <w:bottom w:val="single" w:sz="4" w:space="0" w:color="auto"/>
            </w:tcBorders>
            <w:vAlign w:val="center"/>
          </w:tcPr>
          <w:p w14:paraId="202AE19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163.165</w:t>
            </w:r>
          </w:p>
        </w:tc>
        <w:tc>
          <w:tcPr>
            <w:tcW w:w="759" w:type="dxa"/>
            <w:tcBorders>
              <w:top w:val="single" w:sz="4" w:space="0" w:color="auto"/>
              <w:bottom w:val="single" w:sz="4" w:space="0" w:color="auto"/>
            </w:tcBorders>
            <w:vAlign w:val="center"/>
          </w:tcPr>
          <w:p w14:paraId="281E027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.000</w:t>
            </w:r>
          </w:p>
        </w:tc>
      </w:tr>
      <w:tr w:rsidR="002D6064" w:rsidRPr="00A05EB2" w14:paraId="4040044B" w14:textId="77777777">
        <w:trPr>
          <w:jc w:val="center"/>
        </w:trPr>
        <w:tc>
          <w:tcPr>
            <w:tcW w:w="2036" w:type="dxa"/>
            <w:tcBorders>
              <w:top w:val="single" w:sz="4" w:space="0" w:color="auto"/>
              <w:bottom w:val="single" w:sz="4" w:space="0" w:color="auto"/>
            </w:tcBorders>
            <w:vAlign w:val="center"/>
          </w:tcPr>
          <w:p w14:paraId="12FCFDC5"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A*B</w:t>
            </w:r>
          </w:p>
        </w:tc>
        <w:tc>
          <w:tcPr>
            <w:tcW w:w="1417" w:type="dxa"/>
            <w:tcBorders>
              <w:top w:val="single" w:sz="4" w:space="0" w:color="auto"/>
              <w:bottom w:val="single" w:sz="4" w:space="0" w:color="auto"/>
            </w:tcBorders>
            <w:vAlign w:val="center"/>
          </w:tcPr>
          <w:p w14:paraId="0EA026C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156.671</w:t>
            </w:r>
          </w:p>
        </w:tc>
        <w:tc>
          <w:tcPr>
            <w:tcW w:w="942" w:type="dxa"/>
            <w:tcBorders>
              <w:top w:val="single" w:sz="4" w:space="0" w:color="auto"/>
              <w:bottom w:val="single" w:sz="4" w:space="0" w:color="auto"/>
            </w:tcBorders>
            <w:vAlign w:val="center"/>
          </w:tcPr>
          <w:p w14:paraId="30FBE986"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1</w:t>
            </w:r>
          </w:p>
        </w:tc>
        <w:tc>
          <w:tcPr>
            <w:tcW w:w="1468" w:type="dxa"/>
            <w:tcBorders>
              <w:top w:val="single" w:sz="4" w:space="0" w:color="auto"/>
              <w:bottom w:val="single" w:sz="4" w:space="0" w:color="auto"/>
            </w:tcBorders>
            <w:vAlign w:val="center"/>
          </w:tcPr>
          <w:p w14:paraId="4B3A759F"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156.671</w:t>
            </w:r>
          </w:p>
        </w:tc>
        <w:tc>
          <w:tcPr>
            <w:tcW w:w="1225" w:type="dxa"/>
            <w:tcBorders>
              <w:top w:val="single" w:sz="4" w:space="0" w:color="auto"/>
              <w:bottom w:val="single" w:sz="4" w:space="0" w:color="auto"/>
            </w:tcBorders>
            <w:vAlign w:val="center"/>
          </w:tcPr>
          <w:p w14:paraId="1CBF3A9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4.224</w:t>
            </w:r>
          </w:p>
        </w:tc>
        <w:tc>
          <w:tcPr>
            <w:tcW w:w="759" w:type="dxa"/>
            <w:tcBorders>
              <w:top w:val="single" w:sz="4" w:space="0" w:color="auto"/>
              <w:bottom w:val="single" w:sz="4" w:space="0" w:color="auto"/>
            </w:tcBorders>
            <w:vAlign w:val="center"/>
          </w:tcPr>
          <w:p w14:paraId="6F3786E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.044</w:t>
            </w:r>
          </w:p>
        </w:tc>
      </w:tr>
      <w:tr w:rsidR="002D6064" w:rsidRPr="00A05EB2" w14:paraId="5DB61217" w14:textId="77777777">
        <w:trPr>
          <w:jc w:val="center"/>
        </w:trPr>
        <w:tc>
          <w:tcPr>
            <w:tcW w:w="2036" w:type="dxa"/>
            <w:tcBorders>
              <w:top w:val="single" w:sz="4" w:space="0" w:color="auto"/>
              <w:bottom w:val="single" w:sz="4" w:space="0" w:color="auto"/>
            </w:tcBorders>
            <w:vAlign w:val="center"/>
          </w:tcPr>
          <w:p w14:paraId="72F1951F"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Error</w:t>
            </w:r>
          </w:p>
        </w:tc>
        <w:tc>
          <w:tcPr>
            <w:tcW w:w="1417" w:type="dxa"/>
            <w:tcBorders>
              <w:top w:val="single" w:sz="4" w:space="0" w:color="auto"/>
              <w:bottom w:val="single" w:sz="4" w:space="0" w:color="auto"/>
            </w:tcBorders>
            <w:vAlign w:val="center"/>
          </w:tcPr>
          <w:p w14:paraId="38F2CB5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2372.598</w:t>
            </w:r>
          </w:p>
        </w:tc>
        <w:tc>
          <w:tcPr>
            <w:tcW w:w="942" w:type="dxa"/>
            <w:tcBorders>
              <w:top w:val="single" w:sz="4" w:space="0" w:color="auto"/>
              <w:bottom w:val="single" w:sz="4" w:space="0" w:color="auto"/>
            </w:tcBorders>
            <w:vAlign w:val="center"/>
          </w:tcPr>
          <w:p w14:paraId="556F6C7F"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64</w:t>
            </w:r>
          </w:p>
        </w:tc>
        <w:tc>
          <w:tcPr>
            <w:tcW w:w="1468" w:type="dxa"/>
            <w:tcBorders>
              <w:top w:val="single" w:sz="4" w:space="0" w:color="auto"/>
              <w:bottom w:val="single" w:sz="4" w:space="0" w:color="auto"/>
            </w:tcBorders>
            <w:vAlign w:val="center"/>
          </w:tcPr>
          <w:p w14:paraId="2EA21E3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37.087</w:t>
            </w:r>
          </w:p>
        </w:tc>
        <w:tc>
          <w:tcPr>
            <w:tcW w:w="1225" w:type="dxa"/>
            <w:tcBorders>
              <w:top w:val="single" w:sz="4" w:space="0" w:color="auto"/>
              <w:bottom w:val="single" w:sz="4" w:space="0" w:color="auto"/>
            </w:tcBorders>
            <w:vAlign w:val="center"/>
          </w:tcPr>
          <w:p w14:paraId="1C6D711B" w14:textId="77777777" w:rsidR="002D6064" w:rsidRPr="00A05EB2" w:rsidRDefault="002D6064">
            <w:pPr>
              <w:spacing w:after="0" w:line="240" w:lineRule="auto"/>
              <w:jc w:val="right"/>
              <w:rPr>
                <w:rFonts w:ascii="Times New Roman" w:hAnsi="Times New Roman" w:cs="Times New Roman"/>
                <w:bCs/>
              </w:rPr>
            </w:pPr>
          </w:p>
        </w:tc>
        <w:tc>
          <w:tcPr>
            <w:tcW w:w="759" w:type="dxa"/>
            <w:tcBorders>
              <w:top w:val="single" w:sz="4" w:space="0" w:color="auto"/>
              <w:bottom w:val="single" w:sz="4" w:space="0" w:color="auto"/>
            </w:tcBorders>
            <w:vAlign w:val="center"/>
          </w:tcPr>
          <w:p w14:paraId="2D98E5D6" w14:textId="77777777" w:rsidR="002D6064" w:rsidRPr="00A05EB2" w:rsidRDefault="002D6064">
            <w:pPr>
              <w:spacing w:after="0" w:line="240" w:lineRule="auto"/>
              <w:jc w:val="right"/>
              <w:rPr>
                <w:rFonts w:ascii="Times New Roman" w:hAnsi="Times New Roman" w:cs="Times New Roman"/>
                <w:bCs/>
              </w:rPr>
            </w:pPr>
          </w:p>
        </w:tc>
      </w:tr>
      <w:tr w:rsidR="002D6064" w:rsidRPr="00A05EB2" w14:paraId="579FEF65" w14:textId="77777777">
        <w:trPr>
          <w:jc w:val="center"/>
        </w:trPr>
        <w:tc>
          <w:tcPr>
            <w:tcW w:w="2036" w:type="dxa"/>
            <w:tcBorders>
              <w:top w:val="single" w:sz="4" w:space="0" w:color="auto"/>
              <w:bottom w:val="single" w:sz="4" w:space="0" w:color="auto"/>
            </w:tcBorders>
            <w:vAlign w:val="center"/>
          </w:tcPr>
          <w:p w14:paraId="2CE0E3E8"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Total</w:t>
            </w:r>
          </w:p>
        </w:tc>
        <w:tc>
          <w:tcPr>
            <w:tcW w:w="1417" w:type="dxa"/>
            <w:tcBorders>
              <w:top w:val="single" w:sz="4" w:space="0" w:color="auto"/>
              <w:bottom w:val="single" w:sz="4" w:space="0" w:color="auto"/>
            </w:tcBorders>
            <w:vAlign w:val="center"/>
          </w:tcPr>
          <w:p w14:paraId="4A94162B"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364184.000</w:t>
            </w:r>
          </w:p>
        </w:tc>
        <w:tc>
          <w:tcPr>
            <w:tcW w:w="942" w:type="dxa"/>
            <w:tcBorders>
              <w:top w:val="single" w:sz="4" w:space="0" w:color="auto"/>
              <w:bottom w:val="single" w:sz="4" w:space="0" w:color="auto"/>
            </w:tcBorders>
            <w:vAlign w:val="center"/>
          </w:tcPr>
          <w:p w14:paraId="2E235620"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68</w:t>
            </w:r>
          </w:p>
        </w:tc>
        <w:tc>
          <w:tcPr>
            <w:tcW w:w="1468" w:type="dxa"/>
            <w:tcBorders>
              <w:top w:val="single" w:sz="4" w:space="0" w:color="auto"/>
              <w:bottom w:val="single" w:sz="4" w:space="0" w:color="auto"/>
            </w:tcBorders>
            <w:vAlign w:val="center"/>
          </w:tcPr>
          <w:p w14:paraId="1CABCFAF" w14:textId="77777777" w:rsidR="002D6064" w:rsidRPr="00A05EB2" w:rsidRDefault="002D6064">
            <w:pPr>
              <w:spacing w:after="0" w:line="240" w:lineRule="auto"/>
              <w:jc w:val="center"/>
              <w:rPr>
                <w:rFonts w:ascii="Times New Roman" w:hAnsi="Times New Roman" w:cs="Times New Roman"/>
                <w:bCs/>
              </w:rPr>
            </w:pPr>
          </w:p>
        </w:tc>
        <w:tc>
          <w:tcPr>
            <w:tcW w:w="1225" w:type="dxa"/>
            <w:tcBorders>
              <w:top w:val="single" w:sz="4" w:space="0" w:color="auto"/>
              <w:bottom w:val="single" w:sz="4" w:space="0" w:color="auto"/>
            </w:tcBorders>
          </w:tcPr>
          <w:p w14:paraId="064B400C" w14:textId="77777777" w:rsidR="002D6064" w:rsidRPr="00A05EB2" w:rsidRDefault="002D6064">
            <w:pPr>
              <w:spacing w:after="0" w:line="240" w:lineRule="auto"/>
              <w:jc w:val="center"/>
              <w:rPr>
                <w:rFonts w:ascii="Times New Roman" w:hAnsi="Times New Roman" w:cs="Times New Roman"/>
                <w:bCs/>
              </w:rPr>
            </w:pPr>
          </w:p>
        </w:tc>
        <w:tc>
          <w:tcPr>
            <w:tcW w:w="759" w:type="dxa"/>
            <w:tcBorders>
              <w:top w:val="single" w:sz="4" w:space="0" w:color="auto"/>
              <w:bottom w:val="single" w:sz="4" w:space="0" w:color="auto"/>
            </w:tcBorders>
          </w:tcPr>
          <w:p w14:paraId="0FE4CD2D" w14:textId="77777777" w:rsidR="002D6064" w:rsidRPr="00A05EB2" w:rsidRDefault="002D6064">
            <w:pPr>
              <w:spacing w:after="0" w:line="240" w:lineRule="auto"/>
              <w:jc w:val="center"/>
              <w:rPr>
                <w:rFonts w:ascii="Times New Roman" w:hAnsi="Times New Roman" w:cs="Times New Roman"/>
                <w:bCs/>
              </w:rPr>
            </w:pPr>
          </w:p>
        </w:tc>
      </w:tr>
      <w:tr w:rsidR="002D6064" w:rsidRPr="00A05EB2" w14:paraId="7AC1C205" w14:textId="77777777">
        <w:trPr>
          <w:jc w:val="center"/>
        </w:trPr>
        <w:tc>
          <w:tcPr>
            <w:tcW w:w="2036" w:type="dxa"/>
            <w:tcBorders>
              <w:top w:val="single" w:sz="4" w:space="0" w:color="auto"/>
              <w:bottom w:val="single" w:sz="4" w:space="0" w:color="auto"/>
            </w:tcBorders>
            <w:vAlign w:val="center"/>
          </w:tcPr>
          <w:p w14:paraId="2DAFCA70"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Corrected Total</w:t>
            </w:r>
          </w:p>
        </w:tc>
        <w:tc>
          <w:tcPr>
            <w:tcW w:w="1417" w:type="dxa"/>
            <w:tcBorders>
              <w:top w:val="single" w:sz="4" w:space="0" w:color="auto"/>
              <w:bottom w:val="single" w:sz="4" w:space="0" w:color="auto"/>
            </w:tcBorders>
            <w:vAlign w:val="center"/>
          </w:tcPr>
          <w:p w14:paraId="4BF5EEDF"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9075.235</w:t>
            </w:r>
          </w:p>
        </w:tc>
        <w:tc>
          <w:tcPr>
            <w:tcW w:w="942" w:type="dxa"/>
            <w:tcBorders>
              <w:top w:val="single" w:sz="4" w:space="0" w:color="auto"/>
              <w:bottom w:val="single" w:sz="4" w:space="0" w:color="auto"/>
            </w:tcBorders>
            <w:vAlign w:val="center"/>
          </w:tcPr>
          <w:p w14:paraId="34D9C617"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67</w:t>
            </w:r>
          </w:p>
        </w:tc>
        <w:tc>
          <w:tcPr>
            <w:tcW w:w="1468" w:type="dxa"/>
            <w:tcBorders>
              <w:top w:val="single" w:sz="4" w:space="0" w:color="auto"/>
              <w:bottom w:val="single" w:sz="4" w:space="0" w:color="auto"/>
            </w:tcBorders>
            <w:vAlign w:val="center"/>
          </w:tcPr>
          <w:p w14:paraId="21913B78" w14:textId="77777777" w:rsidR="002D6064" w:rsidRPr="00A05EB2" w:rsidRDefault="002D6064">
            <w:pPr>
              <w:spacing w:after="0" w:line="240" w:lineRule="auto"/>
              <w:jc w:val="center"/>
              <w:rPr>
                <w:rFonts w:ascii="Times New Roman" w:hAnsi="Times New Roman" w:cs="Times New Roman"/>
                <w:bCs/>
              </w:rPr>
            </w:pPr>
          </w:p>
        </w:tc>
        <w:tc>
          <w:tcPr>
            <w:tcW w:w="1225" w:type="dxa"/>
            <w:tcBorders>
              <w:top w:val="single" w:sz="4" w:space="0" w:color="auto"/>
              <w:bottom w:val="single" w:sz="4" w:space="0" w:color="auto"/>
            </w:tcBorders>
          </w:tcPr>
          <w:p w14:paraId="5BA33FA3" w14:textId="77777777" w:rsidR="002D6064" w:rsidRPr="00A05EB2" w:rsidRDefault="002D6064">
            <w:pPr>
              <w:spacing w:after="0" w:line="240" w:lineRule="auto"/>
              <w:jc w:val="center"/>
              <w:rPr>
                <w:rFonts w:ascii="Times New Roman" w:hAnsi="Times New Roman" w:cs="Times New Roman"/>
                <w:bCs/>
              </w:rPr>
            </w:pPr>
          </w:p>
        </w:tc>
        <w:tc>
          <w:tcPr>
            <w:tcW w:w="759" w:type="dxa"/>
            <w:tcBorders>
              <w:top w:val="single" w:sz="4" w:space="0" w:color="auto"/>
              <w:bottom w:val="single" w:sz="4" w:space="0" w:color="auto"/>
            </w:tcBorders>
          </w:tcPr>
          <w:p w14:paraId="20CD3046" w14:textId="77777777" w:rsidR="002D6064" w:rsidRPr="00A05EB2" w:rsidRDefault="002D6064">
            <w:pPr>
              <w:spacing w:after="0" w:line="240" w:lineRule="auto"/>
              <w:jc w:val="center"/>
              <w:rPr>
                <w:rFonts w:ascii="Times New Roman" w:hAnsi="Times New Roman" w:cs="Times New Roman"/>
                <w:bCs/>
              </w:rPr>
            </w:pPr>
          </w:p>
        </w:tc>
      </w:tr>
      <w:tr w:rsidR="002D6064" w:rsidRPr="00A05EB2" w14:paraId="02DCBD13" w14:textId="77777777">
        <w:trPr>
          <w:jc w:val="center"/>
        </w:trPr>
        <w:tc>
          <w:tcPr>
            <w:tcW w:w="5863" w:type="dxa"/>
            <w:gridSpan w:val="4"/>
            <w:tcBorders>
              <w:top w:val="single" w:sz="4" w:space="0" w:color="auto"/>
              <w:bottom w:val="single" w:sz="4" w:space="0" w:color="auto"/>
            </w:tcBorders>
            <w:vAlign w:val="center"/>
          </w:tcPr>
          <w:p w14:paraId="763D3CCA"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 R Squared = .738 (Adjusted R Squared = .726)</w:t>
            </w:r>
          </w:p>
        </w:tc>
        <w:tc>
          <w:tcPr>
            <w:tcW w:w="1225" w:type="dxa"/>
            <w:tcBorders>
              <w:top w:val="single" w:sz="4" w:space="0" w:color="auto"/>
              <w:bottom w:val="single" w:sz="4" w:space="0" w:color="auto"/>
            </w:tcBorders>
          </w:tcPr>
          <w:p w14:paraId="2651FEB5" w14:textId="77777777" w:rsidR="002D6064" w:rsidRPr="00A05EB2" w:rsidRDefault="002D6064">
            <w:pPr>
              <w:spacing w:after="0" w:line="240" w:lineRule="auto"/>
              <w:rPr>
                <w:rFonts w:ascii="Times New Roman" w:hAnsi="Times New Roman" w:cs="Times New Roman"/>
                <w:bCs/>
              </w:rPr>
            </w:pPr>
          </w:p>
        </w:tc>
        <w:tc>
          <w:tcPr>
            <w:tcW w:w="759" w:type="dxa"/>
            <w:tcBorders>
              <w:top w:val="single" w:sz="4" w:space="0" w:color="auto"/>
              <w:bottom w:val="single" w:sz="4" w:space="0" w:color="auto"/>
            </w:tcBorders>
          </w:tcPr>
          <w:p w14:paraId="32A519D5" w14:textId="77777777" w:rsidR="002D6064" w:rsidRPr="00A05EB2" w:rsidRDefault="002D6064">
            <w:pPr>
              <w:spacing w:after="0" w:line="240" w:lineRule="auto"/>
              <w:rPr>
                <w:rFonts w:ascii="Times New Roman" w:hAnsi="Times New Roman" w:cs="Times New Roman"/>
                <w:bCs/>
              </w:rPr>
            </w:pPr>
          </w:p>
        </w:tc>
      </w:tr>
      <w:tr w:rsidR="002D6064" w:rsidRPr="00A05EB2" w14:paraId="3C0E7FAD" w14:textId="77777777">
        <w:trPr>
          <w:jc w:val="center"/>
        </w:trPr>
        <w:tc>
          <w:tcPr>
            <w:tcW w:w="2036" w:type="dxa"/>
            <w:tcBorders>
              <w:top w:val="single" w:sz="4" w:space="0" w:color="auto"/>
            </w:tcBorders>
            <w:vAlign w:val="center"/>
          </w:tcPr>
          <w:p w14:paraId="694E3A52" w14:textId="77777777" w:rsidR="002D6064" w:rsidRPr="00A05EB2" w:rsidRDefault="002D6064">
            <w:pPr>
              <w:spacing w:after="0" w:line="240" w:lineRule="auto"/>
              <w:jc w:val="center"/>
              <w:rPr>
                <w:rFonts w:ascii="Times New Roman" w:hAnsi="Times New Roman" w:cs="Times New Roman"/>
                <w:b/>
              </w:rPr>
            </w:pPr>
          </w:p>
        </w:tc>
        <w:tc>
          <w:tcPr>
            <w:tcW w:w="1417" w:type="dxa"/>
            <w:tcBorders>
              <w:top w:val="single" w:sz="4" w:space="0" w:color="auto"/>
            </w:tcBorders>
            <w:vAlign w:val="center"/>
          </w:tcPr>
          <w:p w14:paraId="79205360" w14:textId="77777777" w:rsidR="002D6064" w:rsidRPr="00A05EB2" w:rsidRDefault="002D6064">
            <w:pPr>
              <w:spacing w:after="0" w:line="240" w:lineRule="auto"/>
              <w:jc w:val="center"/>
              <w:rPr>
                <w:rFonts w:ascii="Times New Roman" w:hAnsi="Times New Roman" w:cs="Times New Roman"/>
                <w:b/>
              </w:rPr>
            </w:pPr>
          </w:p>
        </w:tc>
        <w:tc>
          <w:tcPr>
            <w:tcW w:w="942" w:type="dxa"/>
            <w:tcBorders>
              <w:top w:val="single" w:sz="4" w:space="0" w:color="auto"/>
            </w:tcBorders>
            <w:vAlign w:val="center"/>
          </w:tcPr>
          <w:p w14:paraId="682B76D2" w14:textId="77777777" w:rsidR="002D6064" w:rsidRPr="00A05EB2" w:rsidRDefault="002D6064">
            <w:pPr>
              <w:spacing w:after="0" w:line="240" w:lineRule="auto"/>
              <w:jc w:val="center"/>
              <w:rPr>
                <w:rFonts w:ascii="Times New Roman" w:hAnsi="Times New Roman" w:cs="Times New Roman"/>
                <w:b/>
              </w:rPr>
            </w:pPr>
          </w:p>
        </w:tc>
        <w:tc>
          <w:tcPr>
            <w:tcW w:w="1468" w:type="dxa"/>
            <w:tcBorders>
              <w:top w:val="single" w:sz="4" w:space="0" w:color="auto"/>
            </w:tcBorders>
            <w:vAlign w:val="center"/>
          </w:tcPr>
          <w:p w14:paraId="667A3452" w14:textId="77777777" w:rsidR="002D6064" w:rsidRPr="00A05EB2" w:rsidRDefault="002D6064">
            <w:pPr>
              <w:spacing w:after="0" w:line="240" w:lineRule="auto"/>
              <w:jc w:val="center"/>
              <w:rPr>
                <w:rFonts w:ascii="Times New Roman" w:hAnsi="Times New Roman" w:cs="Times New Roman"/>
                <w:b/>
              </w:rPr>
            </w:pPr>
          </w:p>
        </w:tc>
        <w:tc>
          <w:tcPr>
            <w:tcW w:w="1225" w:type="dxa"/>
            <w:tcBorders>
              <w:top w:val="single" w:sz="4" w:space="0" w:color="auto"/>
            </w:tcBorders>
          </w:tcPr>
          <w:p w14:paraId="79362C6A" w14:textId="77777777" w:rsidR="002D6064" w:rsidRPr="00A05EB2" w:rsidRDefault="002D6064">
            <w:pPr>
              <w:spacing w:after="0" w:line="240" w:lineRule="auto"/>
              <w:jc w:val="center"/>
              <w:rPr>
                <w:rFonts w:ascii="Times New Roman" w:hAnsi="Times New Roman" w:cs="Times New Roman"/>
                <w:b/>
              </w:rPr>
            </w:pPr>
          </w:p>
        </w:tc>
        <w:tc>
          <w:tcPr>
            <w:tcW w:w="759" w:type="dxa"/>
            <w:tcBorders>
              <w:top w:val="single" w:sz="4" w:space="0" w:color="auto"/>
            </w:tcBorders>
          </w:tcPr>
          <w:p w14:paraId="2E52DDAA" w14:textId="77777777" w:rsidR="002D6064" w:rsidRPr="00A05EB2" w:rsidRDefault="002D6064">
            <w:pPr>
              <w:spacing w:after="0" w:line="240" w:lineRule="auto"/>
              <w:jc w:val="center"/>
              <w:rPr>
                <w:rFonts w:ascii="Times New Roman" w:hAnsi="Times New Roman" w:cs="Times New Roman"/>
                <w:b/>
              </w:rPr>
            </w:pPr>
          </w:p>
        </w:tc>
      </w:tr>
    </w:tbl>
    <w:p w14:paraId="1344DD2D" w14:textId="77777777" w:rsidR="002D6064" w:rsidRPr="001F7E08" w:rsidRDefault="00B17D25" w:rsidP="001F7E08">
      <w:pPr>
        <w:pStyle w:val="ListParagraph"/>
        <w:spacing w:after="0" w:line="240" w:lineRule="auto"/>
        <w:ind w:left="0"/>
        <w:jc w:val="both"/>
        <w:rPr>
          <w:rFonts w:ascii="Times New Roman" w:hAnsi="Times New Roman" w:cs="Times New Roman"/>
          <w:b/>
          <w:bCs/>
          <w:sz w:val="24"/>
          <w:szCs w:val="24"/>
        </w:rPr>
      </w:pPr>
      <w:r w:rsidRPr="001F7E08">
        <w:rPr>
          <w:rFonts w:ascii="Times New Roman" w:hAnsi="Times New Roman" w:cs="Times New Roman"/>
          <w:b/>
          <w:bCs/>
          <w:sz w:val="24"/>
          <w:szCs w:val="24"/>
        </w:rPr>
        <w:t>Tukey Test</w:t>
      </w:r>
    </w:p>
    <w:p w14:paraId="53E5CC35" w14:textId="77777777" w:rsidR="002D6064" w:rsidRPr="001F7E08" w:rsidRDefault="00B17D25" w:rsidP="001F7E08">
      <w:pPr>
        <w:spacing w:after="0" w:line="240" w:lineRule="auto"/>
        <w:rPr>
          <w:rFonts w:ascii="Times New Roman" w:hAnsi="Times New Roman" w:cs="Times New Roman"/>
          <w:b/>
          <w:bCs/>
          <w:sz w:val="24"/>
          <w:szCs w:val="24"/>
        </w:rPr>
      </w:pPr>
      <w:r w:rsidRPr="001F7E08">
        <w:rPr>
          <w:rFonts w:ascii="Times New Roman" w:hAnsi="Times New Roman" w:cs="Times New Roman"/>
          <w:b/>
          <w:bCs/>
          <w:sz w:val="24"/>
          <w:szCs w:val="24"/>
        </w:rPr>
        <w:t>Table 7. Tukey Test</w:t>
      </w:r>
    </w:p>
    <w:tbl>
      <w:tblPr>
        <w:tblW w:w="8222" w:type="dxa"/>
        <w:jc w:val="center"/>
        <w:tblLayout w:type="fixed"/>
        <w:tblLook w:val="04A0" w:firstRow="1" w:lastRow="0" w:firstColumn="1" w:lastColumn="0" w:noHBand="0" w:noVBand="1"/>
      </w:tblPr>
      <w:tblGrid>
        <w:gridCol w:w="993"/>
        <w:gridCol w:w="1417"/>
        <w:gridCol w:w="1701"/>
        <w:gridCol w:w="1134"/>
        <w:gridCol w:w="709"/>
        <w:gridCol w:w="1276"/>
        <w:gridCol w:w="992"/>
      </w:tblGrid>
      <w:tr w:rsidR="002D6064" w:rsidRPr="00A05EB2" w14:paraId="425EFA2D" w14:textId="77777777">
        <w:trPr>
          <w:jc w:val="center"/>
        </w:trPr>
        <w:tc>
          <w:tcPr>
            <w:tcW w:w="8222" w:type="dxa"/>
            <w:gridSpan w:val="7"/>
            <w:tcBorders>
              <w:top w:val="single" w:sz="4" w:space="0" w:color="auto"/>
              <w:bottom w:val="single" w:sz="4" w:space="0" w:color="auto"/>
            </w:tcBorders>
            <w:shd w:val="clear" w:color="auto" w:fill="FFFFFF"/>
            <w:vAlign w:val="center"/>
          </w:tcPr>
          <w:p w14:paraId="31D7E452"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Multiple Comparisons</w:t>
            </w:r>
          </w:p>
        </w:tc>
      </w:tr>
      <w:tr w:rsidR="002D6064" w:rsidRPr="00A05EB2" w14:paraId="695380A3" w14:textId="77777777">
        <w:trPr>
          <w:jc w:val="center"/>
        </w:trPr>
        <w:tc>
          <w:tcPr>
            <w:tcW w:w="8222" w:type="dxa"/>
            <w:gridSpan w:val="7"/>
            <w:tcBorders>
              <w:top w:val="single" w:sz="4" w:space="0" w:color="auto"/>
              <w:bottom w:val="single" w:sz="4" w:space="0" w:color="auto"/>
            </w:tcBorders>
            <w:shd w:val="clear" w:color="auto" w:fill="FFFFFF"/>
            <w:vAlign w:val="center"/>
          </w:tcPr>
          <w:p w14:paraId="50B068C3" w14:textId="77777777" w:rsidR="002D6064" w:rsidRPr="00A05EB2" w:rsidRDefault="00B17D25">
            <w:pPr>
              <w:spacing w:after="0" w:line="240" w:lineRule="auto"/>
              <w:rPr>
                <w:rFonts w:ascii="Times New Roman" w:hAnsi="Times New Roman" w:cs="Times New Roman"/>
              </w:rPr>
            </w:pPr>
            <w:r w:rsidRPr="00A05EB2">
              <w:rPr>
                <w:rFonts w:ascii="Times New Roman" w:hAnsi="Times New Roman" w:cs="Times New Roman"/>
              </w:rPr>
              <w:t>Dependent Variable: Reading Skill</w:t>
            </w:r>
          </w:p>
          <w:p w14:paraId="1AAFE792" w14:textId="77777777" w:rsidR="002D6064" w:rsidRPr="00A05EB2" w:rsidRDefault="00B17D25">
            <w:pPr>
              <w:spacing w:after="0" w:line="240" w:lineRule="auto"/>
              <w:rPr>
                <w:rFonts w:ascii="Times New Roman" w:hAnsi="Times New Roman" w:cs="Times New Roman"/>
              </w:rPr>
            </w:pPr>
            <w:r w:rsidRPr="00A05EB2">
              <w:rPr>
                <w:rFonts w:ascii="Times New Roman" w:hAnsi="Times New Roman" w:cs="Times New Roman"/>
              </w:rPr>
              <w:t>Tukey HSD</w:t>
            </w:r>
          </w:p>
        </w:tc>
      </w:tr>
      <w:tr w:rsidR="002D6064" w:rsidRPr="00A05EB2" w14:paraId="0E0E8115" w14:textId="77777777">
        <w:trPr>
          <w:jc w:val="center"/>
        </w:trPr>
        <w:tc>
          <w:tcPr>
            <w:tcW w:w="993" w:type="dxa"/>
            <w:vMerge w:val="restart"/>
            <w:tcBorders>
              <w:top w:val="single" w:sz="4" w:space="0" w:color="auto"/>
            </w:tcBorders>
            <w:shd w:val="clear" w:color="auto" w:fill="FFFFFF"/>
            <w:vAlign w:val="center"/>
          </w:tcPr>
          <w:p w14:paraId="437ADAAF"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(I) Post Hoc</w:t>
            </w:r>
          </w:p>
        </w:tc>
        <w:tc>
          <w:tcPr>
            <w:tcW w:w="1417" w:type="dxa"/>
            <w:vMerge w:val="restart"/>
            <w:tcBorders>
              <w:top w:val="single" w:sz="4" w:space="0" w:color="auto"/>
            </w:tcBorders>
            <w:shd w:val="clear" w:color="auto" w:fill="FFFFFF"/>
            <w:vAlign w:val="center"/>
          </w:tcPr>
          <w:p w14:paraId="5B2453E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(J) Post Hoc</w:t>
            </w:r>
          </w:p>
        </w:tc>
        <w:tc>
          <w:tcPr>
            <w:tcW w:w="1701" w:type="dxa"/>
            <w:vMerge w:val="restart"/>
            <w:tcBorders>
              <w:top w:val="single" w:sz="4" w:space="0" w:color="auto"/>
            </w:tcBorders>
            <w:shd w:val="clear" w:color="auto" w:fill="FFFFFF"/>
            <w:vAlign w:val="center"/>
          </w:tcPr>
          <w:p w14:paraId="1BB28C39"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Mean Differece (I-J)</w:t>
            </w:r>
          </w:p>
        </w:tc>
        <w:tc>
          <w:tcPr>
            <w:tcW w:w="1134" w:type="dxa"/>
            <w:vMerge w:val="restart"/>
            <w:tcBorders>
              <w:top w:val="single" w:sz="4" w:space="0" w:color="auto"/>
            </w:tcBorders>
            <w:shd w:val="clear" w:color="auto" w:fill="FFFFFF"/>
            <w:vAlign w:val="center"/>
          </w:tcPr>
          <w:p w14:paraId="2BBA2400"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Std. Error</w:t>
            </w:r>
          </w:p>
        </w:tc>
        <w:tc>
          <w:tcPr>
            <w:tcW w:w="709" w:type="dxa"/>
            <w:vMerge w:val="restart"/>
            <w:tcBorders>
              <w:top w:val="single" w:sz="4" w:space="0" w:color="auto"/>
            </w:tcBorders>
            <w:shd w:val="clear" w:color="auto" w:fill="FFFFFF"/>
            <w:vAlign w:val="center"/>
          </w:tcPr>
          <w:p w14:paraId="1F03DDCF"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Sig.</w:t>
            </w:r>
          </w:p>
        </w:tc>
        <w:tc>
          <w:tcPr>
            <w:tcW w:w="2268" w:type="dxa"/>
            <w:gridSpan w:val="2"/>
            <w:tcBorders>
              <w:top w:val="single" w:sz="4" w:space="0" w:color="auto"/>
              <w:bottom w:val="single" w:sz="4" w:space="0" w:color="auto"/>
            </w:tcBorders>
            <w:shd w:val="clear" w:color="auto" w:fill="FFFFFF"/>
          </w:tcPr>
          <w:p w14:paraId="7260FE73"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95% Confidence Interval</w:t>
            </w:r>
          </w:p>
        </w:tc>
      </w:tr>
      <w:tr w:rsidR="002D6064" w:rsidRPr="00A05EB2" w14:paraId="3ECE32A1" w14:textId="77777777">
        <w:trPr>
          <w:jc w:val="center"/>
        </w:trPr>
        <w:tc>
          <w:tcPr>
            <w:tcW w:w="993" w:type="dxa"/>
            <w:vMerge/>
            <w:tcBorders>
              <w:bottom w:val="single" w:sz="4" w:space="0" w:color="auto"/>
            </w:tcBorders>
            <w:shd w:val="clear" w:color="auto" w:fill="FFFFFF"/>
            <w:vAlign w:val="center"/>
          </w:tcPr>
          <w:p w14:paraId="5D7ACD7B" w14:textId="77777777" w:rsidR="002D6064" w:rsidRPr="00A05EB2" w:rsidRDefault="002D6064">
            <w:pPr>
              <w:spacing w:after="0" w:line="240" w:lineRule="auto"/>
              <w:jc w:val="center"/>
              <w:rPr>
                <w:rFonts w:ascii="Times New Roman" w:hAnsi="Times New Roman" w:cs="Times New Roman"/>
                <w:b/>
              </w:rPr>
            </w:pPr>
          </w:p>
        </w:tc>
        <w:tc>
          <w:tcPr>
            <w:tcW w:w="1417" w:type="dxa"/>
            <w:vMerge/>
            <w:tcBorders>
              <w:bottom w:val="single" w:sz="4" w:space="0" w:color="auto"/>
            </w:tcBorders>
            <w:shd w:val="clear" w:color="auto" w:fill="FFFFFF"/>
            <w:vAlign w:val="center"/>
          </w:tcPr>
          <w:p w14:paraId="4B29D321" w14:textId="77777777" w:rsidR="002D6064" w:rsidRPr="00A05EB2" w:rsidRDefault="002D6064">
            <w:pPr>
              <w:spacing w:after="0" w:line="240" w:lineRule="auto"/>
              <w:jc w:val="center"/>
              <w:rPr>
                <w:rFonts w:ascii="Times New Roman" w:hAnsi="Times New Roman" w:cs="Times New Roman"/>
                <w:b/>
              </w:rPr>
            </w:pPr>
          </w:p>
        </w:tc>
        <w:tc>
          <w:tcPr>
            <w:tcW w:w="1701" w:type="dxa"/>
            <w:vMerge/>
            <w:tcBorders>
              <w:bottom w:val="single" w:sz="4" w:space="0" w:color="auto"/>
            </w:tcBorders>
            <w:shd w:val="clear" w:color="auto" w:fill="FFFFFF"/>
            <w:vAlign w:val="center"/>
          </w:tcPr>
          <w:p w14:paraId="1E9584F6" w14:textId="77777777" w:rsidR="002D6064" w:rsidRPr="00A05EB2" w:rsidRDefault="002D6064">
            <w:pPr>
              <w:spacing w:after="0" w:line="240" w:lineRule="auto"/>
              <w:jc w:val="center"/>
              <w:rPr>
                <w:rFonts w:ascii="Times New Roman" w:hAnsi="Times New Roman" w:cs="Times New Roman"/>
                <w:b/>
              </w:rPr>
            </w:pPr>
          </w:p>
        </w:tc>
        <w:tc>
          <w:tcPr>
            <w:tcW w:w="1134" w:type="dxa"/>
            <w:vMerge/>
            <w:tcBorders>
              <w:bottom w:val="single" w:sz="4" w:space="0" w:color="auto"/>
            </w:tcBorders>
            <w:shd w:val="clear" w:color="auto" w:fill="FFFFFF"/>
            <w:vAlign w:val="center"/>
          </w:tcPr>
          <w:p w14:paraId="691AA163" w14:textId="77777777" w:rsidR="002D6064" w:rsidRPr="00A05EB2" w:rsidRDefault="002D6064">
            <w:pPr>
              <w:spacing w:after="0" w:line="240" w:lineRule="auto"/>
              <w:jc w:val="center"/>
              <w:rPr>
                <w:rFonts w:ascii="Times New Roman" w:hAnsi="Times New Roman" w:cs="Times New Roman"/>
                <w:b/>
              </w:rPr>
            </w:pPr>
          </w:p>
        </w:tc>
        <w:tc>
          <w:tcPr>
            <w:tcW w:w="709" w:type="dxa"/>
            <w:vMerge/>
            <w:tcBorders>
              <w:bottom w:val="single" w:sz="4" w:space="0" w:color="auto"/>
            </w:tcBorders>
            <w:shd w:val="clear" w:color="auto" w:fill="FFFFFF"/>
          </w:tcPr>
          <w:p w14:paraId="3DAE52DE" w14:textId="77777777" w:rsidR="002D6064" w:rsidRPr="00A05EB2" w:rsidRDefault="002D6064">
            <w:pPr>
              <w:spacing w:after="0" w:line="240" w:lineRule="auto"/>
              <w:jc w:val="center"/>
              <w:rPr>
                <w:rFonts w:ascii="Times New Roman" w:hAnsi="Times New Roman" w:cs="Times New Roman"/>
                <w:b/>
              </w:rPr>
            </w:pPr>
          </w:p>
        </w:tc>
        <w:tc>
          <w:tcPr>
            <w:tcW w:w="1276" w:type="dxa"/>
            <w:tcBorders>
              <w:top w:val="single" w:sz="4" w:space="0" w:color="auto"/>
              <w:bottom w:val="single" w:sz="4" w:space="0" w:color="auto"/>
            </w:tcBorders>
            <w:shd w:val="clear" w:color="auto" w:fill="FFFFFF"/>
          </w:tcPr>
          <w:p w14:paraId="63ADEACF"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Lower Bound</w:t>
            </w:r>
          </w:p>
        </w:tc>
        <w:tc>
          <w:tcPr>
            <w:tcW w:w="992" w:type="dxa"/>
            <w:tcBorders>
              <w:top w:val="single" w:sz="4" w:space="0" w:color="auto"/>
              <w:bottom w:val="single" w:sz="4" w:space="0" w:color="auto"/>
            </w:tcBorders>
            <w:shd w:val="clear" w:color="auto" w:fill="FFFFFF"/>
          </w:tcPr>
          <w:p w14:paraId="2215F113" w14:textId="77777777" w:rsidR="002D6064" w:rsidRPr="00A05EB2" w:rsidRDefault="00B17D25">
            <w:pPr>
              <w:spacing w:after="0" w:line="240" w:lineRule="auto"/>
              <w:jc w:val="center"/>
              <w:rPr>
                <w:rFonts w:ascii="Times New Roman" w:hAnsi="Times New Roman" w:cs="Times New Roman"/>
                <w:b/>
              </w:rPr>
            </w:pPr>
            <w:r w:rsidRPr="00A05EB2">
              <w:rPr>
                <w:rFonts w:ascii="Times New Roman" w:hAnsi="Times New Roman" w:cs="Times New Roman"/>
                <w:b/>
              </w:rPr>
              <w:t>Upper Bound</w:t>
            </w:r>
          </w:p>
        </w:tc>
      </w:tr>
      <w:tr w:rsidR="002D6064" w:rsidRPr="00A05EB2" w14:paraId="4F7695AD" w14:textId="77777777">
        <w:trPr>
          <w:jc w:val="center"/>
        </w:trPr>
        <w:tc>
          <w:tcPr>
            <w:tcW w:w="993" w:type="dxa"/>
            <w:tcBorders>
              <w:top w:val="single" w:sz="4" w:space="0" w:color="auto"/>
              <w:bottom w:val="single" w:sz="4" w:space="0" w:color="auto"/>
            </w:tcBorders>
            <w:vAlign w:val="center"/>
          </w:tcPr>
          <w:p w14:paraId="07792455"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A1B1</w:t>
            </w:r>
          </w:p>
        </w:tc>
        <w:tc>
          <w:tcPr>
            <w:tcW w:w="1417" w:type="dxa"/>
            <w:tcBorders>
              <w:top w:val="single" w:sz="4" w:space="0" w:color="auto"/>
              <w:bottom w:val="single" w:sz="4" w:space="0" w:color="auto"/>
            </w:tcBorders>
            <w:vAlign w:val="center"/>
          </w:tcPr>
          <w:p w14:paraId="4D737C3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A1B2</w:t>
            </w:r>
          </w:p>
          <w:p w14:paraId="627016D3"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A2B1</w:t>
            </w:r>
          </w:p>
          <w:p w14:paraId="0128913F"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A2B2</w:t>
            </w:r>
          </w:p>
        </w:tc>
        <w:tc>
          <w:tcPr>
            <w:tcW w:w="1701" w:type="dxa"/>
            <w:tcBorders>
              <w:top w:val="single" w:sz="4" w:space="0" w:color="auto"/>
              <w:bottom w:val="single" w:sz="4" w:space="0" w:color="auto"/>
            </w:tcBorders>
            <w:vAlign w:val="center"/>
          </w:tcPr>
          <w:p w14:paraId="0C58C34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5.65</w:t>
            </w:r>
          </w:p>
          <w:p w14:paraId="444846C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-5.35</w:t>
            </w:r>
          </w:p>
          <w:p w14:paraId="23CFDFF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-.65</w:t>
            </w:r>
          </w:p>
        </w:tc>
        <w:tc>
          <w:tcPr>
            <w:tcW w:w="1134" w:type="dxa"/>
            <w:tcBorders>
              <w:top w:val="single" w:sz="4" w:space="0" w:color="auto"/>
              <w:bottom w:val="single" w:sz="4" w:space="0" w:color="auto"/>
            </w:tcBorders>
            <w:vAlign w:val="center"/>
          </w:tcPr>
          <w:p w14:paraId="78CF507B"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444F6B68"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35D83DD6"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tc>
        <w:tc>
          <w:tcPr>
            <w:tcW w:w="709" w:type="dxa"/>
            <w:tcBorders>
              <w:top w:val="single" w:sz="4" w:space="0" w:color="auto"/>
              <w:bottom w:val="single" w:sz="4" w:space="0" w:color="auto"/>
            </w:tcBorders>
            <w:vAlign w:val="center"/>
          </w:tcPr>
          <w:p w14:paraId="43C9186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.462</w:t>
            </w:r>
          </w:p>
          <w:p w14:paraId="14BA0335"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.509</w:t>
            </w:r>
          </w:p>
          <w:p w14:paraId="3F19CF49"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.998</w:t>
            </w:r>
          </w:p>
        </w:tc>
        <w:tc>
          <w:tcPr>
            <w:tcW w:w="1276" w:type="dxa"/>
            <w:tcBorders>
              <w:top w:val="single" w:sz="4" w:space="0" w:color="auto"/>
              <w:bottom w:val="single" w:sz="4" w:space="0" w:color="auto"/>
            </w:tcBorders>
            <w:vAlign w:val="center"/>
          </w:tcPr>
          <w:p w14:paraId="5C3204D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-4.49</w:t>
            </w:r>
          </w:p>
          <w:p w14:paraId="05F0F72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-15.49</w:t>
            </w:r>
          </w:p>
          <w:p w14:paraId="0846C32E"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-10.79</w:t>
            </w:r>
          </w:p>
        </w:tc>
        <w:tc>
          <w:tcPr>
            <w:tcW w:w="992" w:type="dxa"/>
            <w:tcBorders>
              <w:top w:val="single" w:sz="4" w:space="0" w:color="auto"/>
              <w:bottom w:val="single" w:sz="4" w:space="0" w:color="auto"/>
            </w:tcBorders>
            <w:vAlign w:val="center"/>
          </w:tcPr>
          <w:p w14:paraId="1DBA62A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15.79</w:t>
            </w:r>
          </w:p>
          <w:p w14:paraId="12684BB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4.79</w:t>
            </w:r>
          </w:p>
          <w:p w14:paraId="462D35D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9.49</w:t>
            </w:r>
          </w:p>
        </w:tc>
      </w:tr>
      <w:tr w:rsidR="002D6064" w:rsidRPr="00A05EB2" w14:paraId="06FD23CC" w14:textId="77777777">
        <w:trPr>
          <w:jc w:val="center"/>
        </w:trPr>
        <w:tc>
          <w:tcPr>
            <w:tcW w:w="993" w:type="dxa"/>
            <w:tcBorders>
              <w:top w:val="single" w:sz="4" w:space="0" w:color="auto"/>
              <w:bottom w:val="single" w:sz="4" w:space="0" w:color="auto"/>
            </w:tcBorders>
            <w:vAlign w:val="center"/>
          </w:tcPr>
          <w:p w14:paraId="1358E644"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A1B2</w:t>
            </w:r>
          </w:p>
        </w:tc>
        <w:tc>
          <w:tcPr>
            <w:tcW w:w="1417" w:type="dxa"/>
            <w:tcBorders>
              <w:top w:val="single" w:sz="4" w:space="0" w:color="auto"/>
              <w:bottom w:val="single" w:sz="4" w:space="0" w:color="auto"/>
            </w:tcBorders>
            <w:vAlign w:val="center"/>
          </w:tcPr>
          <w:p w14:paraId="54867F1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A1B1</w:t>
            </w:r>
          </w:p>
          <w:p w14:paraId="46C58A23"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A2B1</w:t>
            </w:r>
          </w:p>
          <w:p w14:paraId="23514E3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A2B2</w:t>
            </w:r>
          </w:p>
        </w:tc>
        <w:tc>
          <w:tcPr>
            <w:tcW w:w="1701" w:type="dxa"/>
            <w:tcBorders>
              <w:top w:val="single" w:sz="4" w:space="0" w:color="auto"/>
              <w:bottom w:val="single" w:sz="4" w:space="0" w:color="auto"/>
            </w:tcBorders>
            <w:vAlign w:val="center"/>
          </w:tcPr>
          <w:p w14:paraId="0131496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-5.65</w:t>
            </w:r>
          </w:p>
          <w:p w14:paraId="5AD8BBB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-11.00*</w:t>
            </w:r>
          </w:p>
          <w:p w14:paraId="47A6658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-6.29</w:t>
            </w:r>
          </w:p>
        </w:tc>
        <w:tc>
          <w:tcPr>
            <w:tcW w:w="1134" w:type="dxa"/>
            <w:tcBorders>
              <w:top w:val="single" w:sz="4" w:space="0" w:color="auto"/>
              <w:bottom w:val="single" w:sz="4" w:space="0" w:color="auto"/>
            </w:tcBorders>
            <w:vAlign w:val="center"/>
          </w:tcPr>
          <w:p w14:paraId="5590B4C4"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2B73B82B"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116D11DB"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tc>
        <w:tc>
          <w:tcPr>
            <w:tcW w:w="709" w:type="dxa"/>
            <w:tcBorders>
              <w:top w:val="single" w:sz="4" w:space="0" w:color="auto"/>
              <w:bottom w:val="single" w:sz="4" w:space="0" w:color="auto"/>
            </w:tcBorders>
            <w:vAlign w:val="center"/>
          </w:tcPr>
          <w:p w14:paraId="2052B5EF"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.462</w:t>
            </w:r>
          </w:p>
          <w:p w14:paraId="201A4E3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.028</w:t>
            </w:r>
          </w:p>
          <w:p w14:paraId="2C377D4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.365</w:t>
            </w:r>
          </w:p>
        </w:tc>
        <w:tc>
          <w:tcPr>
            <w:tcW w:w="1276" w:type="dxa"/>
            <w:tcBorders>
              <w:top w:val="single" w:sz="4" w:space="0" w:color="auto"/>
              <w:bottom w:val="single" w:sz="4" w:space="0" w:color="auto"/>
            </w:tcBorders>
            <w:vAlign w:val="center"/>
          </w:tcPr>
          <w:p w14:paraId="67CD085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-15.79</w:t>
            </w:r>
          </w:p>
          <w:p w14:paraId="3FC5063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-21.14</w:t>
            </w:r>
          </w:p>
          <w:p w14:paraId="048CFA7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-16.43</w:t>
            </w:r>
          </w:p>
        </w:tc>
        <w:tc>
          <w:tcPr>
            <w:tcW w:w="992" w:type="dxa"/>
            <w:tcBorders>
              <w:top w:val="single" w:sz="4" w:space="0" w:color="auto"/>
              <w:bottom w:val="single" w:sz="4" w:space="0" w:color="auto"/>
            </w:tcBorders>
            <w:vAlign w:val="center"/>
          </w:tcPr>
          <w:p w14:paraId="2F71C32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4.49</w:t>
            </w:r>
          </w:p>
          <w:p w14:paraId="3A58AF25"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-.86</w:t>
            </w:r>
          </w:p>
          <w:p w14:paraId="77440192"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3.85</w:t>
            </w:r>
          </w:p>
        </w:tc>
      </w:tr>
      <w:tr w:rsidR="002D6064" w:rsidRPr="00A05EB2" w14:paraId="258A9BA5" w14:textId="77777777">
        <w:trPr>
          <w:jc w:val="center"/>
        </w:trPr>
        <w:tc>
          <w:tcPr>
            <w:tcW w:w="993" w:type="dxa"/>
            <w:tcBorders>
              <w:top w:val="single" w:sz="4" w:space="0" w:color="auto"/>
              <w:bottom w:val="single" w:sz="4" w:space="0" w:color="auto"/>
            </w:tcBorders>
            <w:vAlign w:val="center"/>
          </w:tcPr>
          <w:p w14:paraId="3852EFFF"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A2B1</w:t>
            </w:r>
          </w:p>
        </w:tc>
        <w:tc>
          <w:tcPr>
            <w:tcW w:w="1417" w:type="dxa"/>
            <w:tcBorders>
              <w:top w:val="single" w:sz="4" w:space="0" w:color="auto"/>
              <w:bottom w:val="single" w:sz="4" w:space="0" w:color="auto"/>
            </w:tcBorders>
            <w:vAlign w:val="center"/>
          </w:tcPr>
          <w:p w14:paraId="60CDEDE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A1B1</w:t>
            </w:r>
          </w:p>
          <w:p w14:paraId="572C1F0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A1B2</w:t>
            </w:r>
          </w:p>
          <w:p w14:paraId="52AEB87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A2B2</w:t>
            </w:r>
          </w:p>
        </w:tc>
        <w:tc>
          <w:tcPr>
            <w:tcW w:w="1701" w:type="dxa"/>
            <w:tcBorders>
              <w:top w:val="single" w:sz="4" w:space="0" w:color="auto"/>
              <w:bottom w:val="single" w:sz="4" w:space="0" w:color="auto"/>
            </w:tcBorders>
            <w:vAlign w:val="center"/>
          </w:tcPr>
          <w:p w14:paraId="13E7892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5.35</w:t>
            </w:r>
          </w:p>
          <w:p w14:paraId="34860B9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11.00*</w:t>
            </w:r>
          </w:p>
          <w:p w14:paraId="157778F3"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4.71</w:t>
            </w:r>
          </w:p>
        </w:tc>
        <w:tc>
          <w:tcPr>
            <w:tcW w:w="1134" w:type="dxa"/>
            <w:tcBorders>
              <w:top w:val="single" w:sz="4" w:space="0" w:color="auto"/>
              <w:bottom w:val="single" w:sz="4" w:space="0" w:color="auto"/>
            </w:tcBorders>
            <w:vAlign w:val="center"/>
          </w:tcPr>
          <w:p w14:paraId="2367B4A2"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5C8960B9"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1D508A0D"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tc>
        <w:tc>
          <w:tcPr>
            <w:tcW w:w="709" w:type="dxa"/>
            <w:tcBorders>
              <w:top w:val="single" w:sz="4" w:space="0" w:color="auto"/>
              <w:bottom w:val="single" w:sz="4" w:space="0" w:color="auto"/>
            </w:tcBorders>
            <w:vAlign w:val="center"/>
          </w:tcPr>
          <w:p w14:paraId="35CCDD5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.509</w:t>
            </w:r>
          </w:p>
          <w:p w14:paraId="0F53B9B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.028</w:t>
            </w:r>
          </w:p>
          <w:p w14:paraId="1A09091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.614</w:t>
            </w:r>
          </w:p>
        </w:tc>
        <w:tc>
          <w:tcPr>
            <w:tcW w:w="1276" w:type="dxa"/>
            <w:tcBorders>
              <w:top w:val="single" w:sz="4" w:space="0" w:color="auto"/>
              <w:bottom w:val="single" w:sz="4" w:space="0" w:color="auto"/>
            </w:tcBorders>
            <w:vAlign w:val="center"/>
          </w:tcPr>
          <w:p w14:paraId="67AE55C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-4.79</w:t>
            </w:r>
          </w:p>
          <w:p w14:paraId="261D8365"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.86</w:t>
            </w:r>
          </w:p>
          <w:p w14:paraId="554673D6"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-5.43</w:t>
            </w:r>
          </w:p>
        </w:tc>
        <w:tc>
          <w:tcPr>
            <w:tcW w:w="992" w:type="dxa"/>
            <w:tcBorders>
              <w:top w:val="single" w:sz="4" w:space="0" w:color="auto"/>
              <w:bottom w:val="single" w:sz="4" w:space="0" w:color="auto"/>
            </w:tcBorders>
            <w:vAlign w:val="center"/>
          </w:tcPr>
          <w:p w14:paraId="0AD6B0C9"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15.49</w:t>
            </w:r>
          </w:p>
          <w:p w14:paraId="6948D2E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21.14</w:t>
            </w:r>
          </w:p>
          <w:p w14:paraId="29CFD77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14.85</w:t>
            </w:r>
          </w:p>
        </w:tc>
      </w:tr>
      <w:tr w:rsidR="002D6064" w:rsidRPr="00A05EB2" w14:paraId="5C0F9315" w14:textId="77777777">
        <w:trPr>
          <w:jc w:val="center"/>
        </w:trPr>
        <w:tc>
          <w:tcPr>
            <w:tcW w:w="993" w:type="dxa"/>
            <w:tcBorders>
              <w:top w:val="single" w:sz="4" w:space="0" w:color="auto"/>
              <w:bottom w:val="single" w:sz="4" w:space="0" w:color="auto"/>
            </w:tcBorders>
            <w:vAlign w:val="center"/>
          </w:tcPr>
          <w:p w14:paraId="5181DC7C"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A2B1</w:t>
            </w:r>
          </w:p>
        </w:tc>
        <w:tc>
          <w:tcPr>
            <w:tcW w:w="1417" w:type="dxa"/>
            <w:tcBorders>
              <w:top w:val="single" w:sz="4" w:space="0" w:color="auto"/>
              <w:bottom w:val="single" w:sz="4" w:space="0" w:color="auto"/>
            </w:tcBorders>
            <w:vAlign w:val="center"/>
          </w:tcPr>
          <w:p w14:paraId="7DF46F3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A1B1</w:t>
            </w:r>
          </w:p>
          <w:p w14:paraId="255A8517"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A1B2</w:t>
            </w:r>
          </w:p>
          <w:p w14:paraId="1CB0988D"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A2B2</w:t>
            </w:r>
          </w:p>
        </w:tc>
        <w:tc>
          <w:tcPr>
            <w:tcW w:w="1701" w:type="dxa"/>
            <w:tcBorders>
              <w:top w:val="single" w:sz="4" w:space="0" w:color="auto"/>
              <w:bottom w:val="single" w:sz="4" w:space="0" w:color="auto"/>
            </w:tcBorders>
            <w:vAlign w:val="center"/>
          </w:tcPr>
          <w:p w14:paraId="3DD920DB"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.65</w:t>
            </w:r>
          </w:p>
          <w:p w14:paraId="4DCE3DE9"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6.29</w:t>
            </w:r>
          </w:p>
          <w:p w14:paraId="7C29F10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-4.71</w:t>
            </w:r>
          </w:p>
        </w:tc>
        <w:tc>
          <w:tcPr>
            <w:tcW w:w="1134" w:type="dxa"/>
            <w:tcBorders>
              <w:top w:val="single" w:sz="4" w:space="0" w:color="auto"/>
              <w:bottom w:val="single" w:sz="4" w:space="0" w:color="auto"/>
            </w:tcBorders>
            <w:vAlign w:val="center"/>
          </w:tcPr>
          <w:p w14:paraId="700F99A3"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2186002C"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p w14:paraId="2CC15880" w14:textId="77777777" w:rsidR="002D6064" w:rsidRPr="00A05EB2" w:rsidRDefault="00B17D25">
            <w:pPr>
              <w:spacing w:after="0" w:line="240" w:lineRule="auto"/>
              <w:jc w:val="center"/>
              <w:rPr>
                <w:rFonts w:ascii="Times New Roman" w:hAnsi="Times New Roman" w:cs="Times New Roman"/>
                <w:bCs/>
              </w:rPr>
            </w:pPr>
            <w:r w:rsidRPr="00A05EB2">
              <w:rPr>
                <w:rFonts w:ascii="Times New Roman" w:hAnsi="Times New Roman" w:cs="Times New Roman"/>
                <w:bCs/>
              </w:rPr>
              <w:t>3.844</w:t>
            </w:r>
          </w:p>
        </w:tc>
        <w:tc>
          <w:tcPr>
            <w:tcW w:w="709" w:type="dxa"/>
            <w:tcBorders>
              <w:top w:val="single" w:sz="4" w:space="0" w:color="auto"/>
              <w:bottom w:val="single" w:sz="4" w:space="0" w:color="auto"/>
            </w:tcBorders>
            <w:vAlign w:val="center"/>
          </w:tcPr>
          <w:p w14:paraId="106CE90A"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.998</w:t>
            </w:r>
          </w:p>
          <w:p w14:paraId="3D34E38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.365</w:t>
            </w:r>
          </w:p>
          <w:p w14:paraId="31086830"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.614</w:t>
            </w:r>
          </w:p>
        </w:tc>
        <w:tc>
          <w:tcPr>
            <w:tcW w:w="1276" w:type="dxa"/>
            <w:tcBorders>
              <w:top w:val="single" w:sz="4" w:space="0" w:color="auto"/>
              <w:bottom w:val="single" w:sz="4" w:space="0" w:color="auto"/>
            </w:tcBorders>
            <w:vAlign w:val="center"/>
          </w:tcPr>
          <w:p w14:paraId="2A91C63E"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-9.49</w:t>
            </w:r>
          </w:p>
          <w:p w14:paraId="356EF2F8"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-3.85</w:t>
            </w:r>
          </w:p>
          <w:p w14:paraId="7C6BE1A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-14.85</w:t>
            </w:r>
          </w:p>
        </w:tc>
        <w:tc>
          <w:tcPr>
            <w:tcW w:w="992" w:type="dxa"/>
            <w:tcBorders>
              <w:top w:val="single" w:sz="4" w:space="0" w:color="auto"/>
              <w:bottom w:val="single" w:sz="4" w:space="0" w:color="auto"/>
            </w:tcBorders>
            <w:vAlign w:val="center"/>
          </w:tcPr>
          <w:p w14:paraId="51BC50B4"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10.79</w:t>
            </w:r>
          </w:p>
          <w:p w14:paraId="4070FA9C"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16.43</w:t>
            </w:r>
          </w:p>
          <w:p w14:paraId="494AF7C1" w14:textId="77777777" w:rsidR="002D6064" w:rsidRPr="00A05EB2" w:rsidRDefault="00B17D25">
            <w:pPr>
              <w:spacing w:after="0" w:line="240" w:lineRule="auto"/>
              <w:jc w:val="right"/>
              <w:rPr>
                <w:rFonts w:ascii="Times New Roman" w:hAnsi="Times New Roman" w:cs="Times New Roman"/>
                <w:bCs/>
              </w:rPr>
            </w:pPr>
            <w:r w:rsidRPr="00A05EB2">
              <w:rPr>
                <w:rFonts w:ascii="Times New Roman" w:hAnsi="Times New Roman" w:cs="Times New Roman"/>
                <w:bCs/>
              </w:rPr>
              <w:t>5.43</w:t>
            </w:r>
          </w:p>
        </w:tc>
      </w:tr>
      <w:tr w:rsidR="002D6064" w:rsidRPr="00A05EB2" w14:paraId="426A5933" w14:textId="77777777">
        <w:trPr>
          <w:jc w:val="center"/>
        </w:trPr>
        <w:tc>
          <w:tcPr>
            <w:tcW w:w="8222" w:type="dxa"/>
            <w:gridSpan w:val="7"/>
            <w:tcBorders>
              <w:top w:val="single" w:sz="4" w:space="0" w:color="auto"/>
              <w:bottom w:val="single" w:sz="4" w:space="0" w:color="auto"/>
            </w:tcBorders>
            <w:vAlign w:val="center"/>
          </w:tcPr>
          <w:p w14:paraId="5C8A8304"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Based on observed means.</w:t>
            </w:r>
          </w:p>
          <w:p w14:paraId="48D109FE"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The error term is Mean Square (Error) = 125.616.</w:t>
            </w:r>
          </w:p>
          <w:p w14:paraId="16793170" w14:textId="77777777" w:rsidR="002D6064" w:rsidRPr="00A05EB2" w:rsidRDefault="00B17D25">
            <w:pPr>
              <w:spacing w:after="0" w:line="240" w:lineRule="auto"/>
              <w:rPr>
                <w:rFonts w:ascii="Times New Roman" w:hAnsi="Times New Roman" w:cs="Times New Roman"/>
                <w:bCs/>
              </w:rPr>
            </w:pPr>
            <w:r w:rsidRPr="00A05EB2">
              <w:rPr>
                <w:rFonts w:ascii="Times New Roman" w:hAnsi="Times New Roman" w:cs="Times New Roman"/>
                <w:bCs/>
              </w:rPr>
              <w:t>*. The mean difference is significant at the 0.05 level.</w:t>
            </w:r>
          </w:p>
        </w:tc>
      </w:tr>
    </w:tbl>
    <w:p w14:paraId="04ECC642" w14:textId="77777777" w:rsidR="002D6064" w:rsidRDefault="002D6064">
      <w:pPr>
        <w:spacing w:after="0" w:line="240" w:lineRule="auto"/>
        <w:jc w:val="both"/>
        <w:rPr>
          <w:rFonts w:ascii="Times New Roman" w:hAnsi="Times New Roman" w:cs="Times New Roman"/>
          <w:bCs/>
          <w:sz w:val="24"/>
          <w:szCs w:val="24"/>
        </w:rPr>
      </w:pPr>
    </w:p>
    <w:p w14:paraId="518476DD" w14:textId="5DA5EFB8" w:rsidR="002D6064" w:rsidRDefault="00B17D25">
      <w:pPr>
        <w:spacing w:after="0" w:line="240" w:lineRule="auto"/>
        <w:ind w:firstLine="567"/>
        <w:jc w:val="both"/>
        <w:rPr>
          <w:rFonts w:ascii="Times New Roman" w:hAnsi="Times New Roman" w:cs="Times New Roman"/>
          <w:sz w:val="24"/>
          <w:szCs w:val="24"/>
        </w:rPr>
      </w:pPr>
      <w:r w:rsidRPr="00B17D25">
        <w:rPr>
          <w:rFonts w:ascii="Times New Roman" w:hAnsi="Times New Roman" w:cs="Times New Roman"/>
          <w:sz w:val="24"/>
          <w:szCs w:val="24"/>
        </w:rPr>
        <w:t>The purpose of this Tukey test function is to determine the comparability between the four groups. In comparing group A1B1 with group A1B2 in terms of student motivation (A1), it is observed that there are no students with an extroverted personality (B1) in group A1B1, while group A1B2 consists of students with introverted personalities (B2). This is demonstrated by the significant score of 0.462. 0.05. When comparing group A1B1 with group A2B1 among students with strong extroverted personality (B1), there are variations in the outcomes of students with high motivation (A1) and low motivation (A2). This is evidenced by the significance score of 0.509, which is less than the threshold of 0.05. When comparing group A1B2 with A2B2 in a group of students with introverted personalities (B2), there are notable disparities in the outcomes of strong motivation (A1) compared to those with low motivation (A2). This is evidenced by the significance score of 0.365, which is lower than the threshold of 0.05.</w:t>
      </w:r>
    </w:p>
    <w:p w14:paraId="61D0EE66" w14:textId="77777777" w:rsidR="002D6064" w:rsidRDefault="002D6064">
      <w:pPr>
        <w:spacing w:after="0" w:line="240" w:lineRule="auto"/>
        <w:jc w:val="both"/>
        <w:rPr>
          <w:rFonts w:ascii="Times New Roman" w:hAnsi="Times New Roman" w:cs="Times New Roman"/>
          <w:b/>
          <w:sz w:val="24"/>
          <w:szCs w:val="24"/>
        </w:rPr>
      </w:pPr>
    </w:p>
    <w:p w14:paraId="2756B166" w14:textId="77777777" w:rsidR="002D6064" w:rsidRPr="001F7E08" w:rsidRDefault="00B17D25">
      <w:pPr>
        <w:spacing w:after="0" w:line="240" w:lineRule="auto"/>
        <w:jc w:val="both"/>
        <w:rPr>
          <w:rFonts w:ascii="Book Antiqua" w:hAnsi="Book Antiqua" w:cs="Times New Roman"/>
          <w:b/>
          <w:sz w:val="24"/>
          <w:szCs w:val="24"/>
        </w:rPr>
      </w:pPr>
      <w:r w:rsidRPr="001F7E08">
        <w:rPr>
          <w:rFonts w:ascii="Book Antiqua" w:hAnsi="Book Antiqua" w:cs="Times New Roman"/>
          <w:b/>
          <w:sz w:val="24"/>
          <w:szCs w:val="24"/>
        </w:rPr>
        <w:t>Conclusion</w:t>
      </w:r>
    </w:p>
    <w:p w14:paraId="141E5E52" w14:textId="5E017A30" w:rsidR="002D6064" w:rsidRPr="00A979F4" w:rsidRDefault="00B17D25" w:rsidP="00A979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Based on the outcomes of hypothesis testing and data analysis, the following conclusions can be drawn:</w:t>
      </w:r>
      <w:r w:rsidR="00A979F4">
        <w:rPr>
          <w:rFonts w:ascii="Times New Roman" w:hAnsi="Times New Roman" w:cs="Times New Roman"/>
          <w:sz w:val="24"/>
          <w:szCs w:val="24"/>
        </w:rPr>
        <w:t xml:space="preserve"> First, t</w:t>
      </w:r>
      <w:r w:rsidRPr="00A979F4">
        <w:rPr>
          <w:rFonts w:ascii="Times New Roman" w:hAnsi="Times New Roman" w:cs="Times New Roman"/>
          <w:sz w:val="24"/>
          <w:szCs w:val="24"/>
        </w:rPr>
        <w:t>he reading proficiency of English learners is impacted by their individual personalities. The ANOVA result summary table indicates that the F-value is 185.888 and the significance level (Sig.) is 0.000, which is below the threshold of 0.05. Consequently, we invalidate the null hypothesis (H0) and endorse the alternative hypothesis (H1). This indicates that there is a statistically significant difference in the average discrepancy in English reading skills among learners based on their personality traits.</w:t>
      </w:r>
      <w:r w:rsidR="00A979F4">
        <w:rPr>
          <w:rFonts w:ascii="Times New Roman" w:hAnsi="Times New Roman" w:cs="Times New Roman"/>
          <w:sz w:val="24"/>
          <w:szCs w:val="24"/>
        </w:rPr>
        <w:t xml:space="preserve"> Second, m</w:t>
      </w:r>
      <w:r w:rsidRPr="00A979F4">
        <w:rPr>
          <w:rFonts w:ascii="Times New Roman" w:hAnsi="Times New Roman" w:cs="Times New Roman"/>
          <w:sz w:val="24"/>
          <w:szCs w:val="24"/>
        </w:rPr>
        <w:t xml:space="preserve">otivation significantly influences students' English reading skills. The ANOVA results table clearly indicates that the value of F0 is 4.877 and the significance level (Sig.) is 0.031, which is less than 0.05. Thus, the null hypothesis (H0) is refuted, and the alternative hypothesis (H1) is affirmed. This indicates that there is a statistically significant difference in the average gap in English reading abilities across learners, depending on their level of enthusiasm. </w:t>
      </w:r>
      <w:r w:rsidR="00A979F4">
        <w:rPr>
          <w:rFonts w:ascii="Times New Roman" w:hAnsi="Times New Roman" w:cs="Times New Roman"/>
          <w:sz w:val="24"/>
          <w:szCs w:val="24"/>
        </w:rPr>
        <w:t>Third, the</w:t>
      </w:r>
      <w:r w:rsidRPr="00A979F4">
        <w:rPr>
          <w:rFonts w:ascii="Times New Roman" w:hAnsi="Times New Roman" w:cs="Times New Roman"/>
          <w:sz w:val="24"/>
          <w:szCs w:val="24"/>
        </w:rPr>
        <w:t xml:space="preserve"> </w:t>
      </w:r>
      <w:r w:rsidR="001F7E08" w:rsidRPr="00A979F4">
        <w:rPr>
          <w:rFonts w:ascii="Times New Roman" w:hAnsi="Times New Roman" w:cs="Times New Roman"/>
          <w:sz w:val="24"/>
          <w:szCs w:val="24"/>
        </w:rPr>
        <w:t>English-speaking</w:t>
      </w:r>
      <w:r w:rsidRPr="00A979F4">
        <w:rPr>
          <w:rFonts w:ascii="Times New Roman" w:hAnsi="Times New Roman" w:cs="Times New Roman"/>
          <w:sz w:val="24"/>
          <w:szCs w:val="24"/>
        </w:rPr>
        <w:t xml:space="preserve"> skills of the learners are influenced by the interaction effect of their personality and motivation. </w:t>
      </w:r>
      <w:r w:rsidRPr="00A979F4">
        <w:rPr>
          <w:rFonts w:ascii="Times New Roman" w:hAnsi="Times New Roman" w:cs="Times New Roman"/>
          <w:sz w:val="24"/>
          <w:szCs w:val="24"/>
        </w:rPr>
        <w:lastRenderedPageBreak/>
        <w:t>Examining the table summarizing the ANOVA findings, it is clear that the value of F0 is 5.072 and the significance level is 0.028. Thus, the null hypothesis (H0) is refuted, and the alternative hypothesis (H1) is affirmed. This exemplifies the significant influence of the interaction between personality and motivation on students' reading ability. The modified R-squared value of 0.741 suggests that 74.10% of the variability in learners' English reading skills can be explained by the components of personality, motivation, and the interaction between personality and motivation. The ANOVA results indicate a significant interaction between personality and motivation in the session. Hence, further research is carried out to investigate the specific impact of the sub-factors involved in this interaction.</w:t>
      </w:r>
    </w:p>
    <w:p w14:paraId="01FC791F" w14:textId="77777777" w:rsidR="002D6064" w:rsidRDefault="002D6064">
      <w:pPr>
        <w:spacing w:after="0" w:line="240" w:lineRule="auto"/>
        <w:jc w:val="both"/>
        <w:rPr>
          <w:rFonts w:ascii="Times New Roman" w:hAnsi="Times New Roman" w:cs="Times New Roman"/>
          <w:b/>
          <w:sz w:val="24"/>
          <w:szCs w:val="24"/>
        </w:rPr>
      </w:pPr>
    </w:p>
    <w:p w14:paraId="4DBF450C" w14:textId="77777777" w:rsidR="002D6064" w:rsidRPr="001F7E08" w:rsidRDefault="00B17D25">
      <w:pPr>
        <w:spacing w:after="0" w:line="240" w:lineRule="auto"/>
        <w:jc w:val="both"/>
        <w:rPr>
          <w:rFonts w:ascii="Book Antiqua" w:hAnsi="Book Antiqua" w:cs="Times New Roman"/>
          <w:sz w:val="24"/>
          <w:szCs w:val="24"/>
        </w:rPr>
      </w:pPr>
      <w:r w:rsidRPr="001F7E08">
        <w:rPr>
          <w:rFonts w:ascii="Book Antiqua" w:hAnsi="Book Antiqua" w:cs="Times New Roman"/>
          <w:b/>
          <w:sz w:val="24"/>
          <w:szCs w:val="24"/>
        </w:rPr>
        <w:t>References</w:t>
      </w:r>
    </w:p>
    <w:p w14:paraId="3DC8AC56"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Agung, I Gusti Ay Mahatma, I Made Perdana Skolastika, and Dewa Sang Made Widiantara. 2022. “Peningkatan Motivasi Belajar Bahasa Inggris Bagi Siswa Sma Dan Smk Melalui Program ‘Mengabdi Padamu Negeri.’” </w:t>
      </w:r>
      <w:r>
        <w:rPr>
          <w:rFonts w:ascii="Times New Roman" w:hAnsi="Times New Roman" w:cs="Times New Roman"/>
          <w:i/>
          <w:iCs/>
          <w:sz w:val="24"/>
          <w:szCs w:val="24"/>
        </w:rPr>
        <w:t>JMM (Jurnal Masyarakat Mandiri)</w:t>
      </w:r>
      <w:r>
        <w:rPr>
          <w:rFonts w:ascii="Times New Roman" w:hAnsi="Times New Roman" w:cs="Times New Roman"/>
          <w:sz w:val="24"/>
          <w:szCs w:val="24"/>
        </w:rPr>
        <w:t xml:space="preserve"> 6(4): 3064.</w:t>
      </w:r>
    </w:p>
    <w:p w14:paraId="56883AF4"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Ambarita, Rahel Sonia, Neneng Sri Wulan, and D Wahyudin. 2022. “Analisis Kemampuan Membaca Pemahaman Pada Siswa Sekolah Dasar.” </w:t>
      </w:r>
      <w:r>
        <w:rPr>
          <w:rFonts w:ascii="Times New Roman" w:hAnsi="Times New Roman" w:cs="Times New Roman"/>
          <w:i/>
          <w:iCs/>
          <w:sz w:val="24"/>
          <w:szCs w:val="24"/>
        </w:rPr>
        <w:t>Edukatif : Jurnal Ilmu Pendidikan</w:t>
      </w:r>
      <w:r>
        <w:rPr>
          <w:rFonts w:ascii="Times New Roman" w:hAnsi="Times New Roman" w:cs="Times New Roman"/>
          <w:sz w:val="24"/>
          <w:szCs w:val="24"/>
        </w:rPr>
        <w:t xml:space="preserve"> 4(4): 5573–81.</w:t>
      </w:r>
    </w:p>
    <w:p w14:paraId="434A8911"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Ansori, Aan. 2020. “Kepribadian Dan Emosi.” </w:t>
      </w:r>
      <w:r>
        <w:rPr>
          <w:rFonts w:ascii="Times New Roman" w:hAnsi="Times New Roman" w:cs="Times New Roman"/>
          <w:i/>
          <w:iCs/>
          <w:sz w:val="24"/>
          <w:szCs w:val="24"/>
        </w:rPr>
        <w:t>Jurnal Literasi Pendidikan Nusantara</w:t>
      </w:r>
      <w:r>
        <w:rPr>
          <w:rFonts w:ascii="Times New Roman" w:hAnsi="Times New Roman" w:cs="Times New Roman"/>
          <w:sz w:val="24"/>
          <w:szCs w:val="24"/>
        </w:rPr>
        <w:t xml:space="preserve"> 1(1): 41–54. http://jurnal.uinbanten.ac.id/index.php/jlpn.</w:t>
      </w:r>
    </w:p>
    <w:p w14:paraId="1D7936A2"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Aurora, Aviva, and Hansi Effendi. 2019. “Pengaruh Penggunaan Media Pembelajaran E-Learning Terhadap Motivasi Belajar Mahasiswa Di Universitas Negeri Padang.” </w:t>
      </w:r>
      <w:r>
        <w:rPr>
          <w:rFonts w:ascii="Times New Roman" w:hAnsi="Times New Roman" w:cs="Times New Roman"/>
          <w:i/>
          <w:iCs/>
          <w:sz w:val="24"/>
          <w:szCs w:val="24"/>
        </w:rPr>
        <w:t>JTEV (Jurnal Teknik Elektro dan Vokasional)</w:t>
      </w:r>
      <w:r>
        <w:rPr>
          <w:rFonts w:ascii="Times New Roman" w:hAnsi="Times New Roman" w:cs="Times New Roman"/>
          <w:sz w:val="24"/>
          <w:szCs w:val="24"/>
        </w:rPr>
        <w:t xml:space="preserve"> 5(2): 11.</w:t>
      </w:r>
    </w:p>
    <w:p w14:paraId="4E319614"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Emda, Amna. 2018. “Kedudukan Motivasi Belajar Siswa Dalam Pembelajaran.” </w:t>
      </w:r>
      <w:r>
        <w:rPr>
          <w:rFonts w:ascii="Times New Roman" w:hAnsi="Times New Roman" w:cs="Times New Roman"/>
          <w:i/>
          <w:iCs/>
          <w:sz w:val="24"/>
          <w:szCs w:val="24"/>
        </w:rPr>
        <w:t>Lantanida Journal</w:t>
      </w:r>
      <w:r>
        <w:rPr>
          <w:rFonts w:ascii="Times New Roman" w:hAnsi="Times New Roman" w:cs="Times New Roman"/>
          <w:sz w:val="24"/>
          <w:szCs w:val="24"/>
        </w:rPr>
        <w:t xml:space="preserve"> 5(2): 172.</w:t>
      </w:r>
    </w:p>
    <w:p w14:paraId="5F576411"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Fauziah, Herisfani. 2018. “Upaya Guru Dalam Mengembangkan Kemampuan Membaca Menulis Permulaan Siswa Kelas I Mi.” </w:t>
      </w:r>
      <w:r>
        <w:rPr>
          <w:rFonts w:ascii="Times New Roman" w:hAnsi="Times New Roman" w:cs="Times New Roman"/>
          <w:i/>
          <w:iCs/>
          <w:sz w:val="24"/>
          <w:szCs w:val="24"/>
        </w:rPr>
        <w:t>Elementary: Jurnal Ilmiah Pendidikan Dasar</w:t>
      </w:r>
      <w:r>
        <w:rPr>
          <w:rFonts w:ascii="Times New Roman" w:hAnsi="Times New Roman" w:cs="Times New Roman"/>
          <w:sz w:val="24"/>
          <w:szCs w:val="24"/>
        </w:rPr>
        <w:t xml:space="preserve"> 4(2): 173.</w:t>
      </w:r>
    </w:p>
    <w:p w14:paraId="36A6C21C"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Hidayat, Fahrul, Hernisawati Hernisawati, and Aprezo Pardodi Maba. 2021. “Dampak Penggunaan Gadget Terhadap Kepribadian Anak Sekolah Dasar: Studi Kasus Pada Siswa ‘X.’” </w:t>
      </w:r>
      <w:r>
        <w:rPr>
          <w:rFonts w:ascii="Times New Roman" w:hAnsi="Times New Roman" w:cs="Times New Roman"/>
          <w:i/>
          <w:iCs/>
          <w:sz w:val="24"/>
          <w:szCs w:val="24"/>
        </w:rPr>
        <w:t>Jurnal Hernisawati Maba, Aprezo PardodiHumaniora dan Ilmu Pendidikan</w:t>
      </w:r>
      <w:r>
        <w:rPr>
          <w:rFonts w:ascii="Times New Roman" w:hAnsi="Times New Roman" w:cs="Times New Roman"/>
          <w:sz w:val="24"/>
          <w:szCs w:val="24"/>
        </w:rPr>
        <w:t xml:space="preserve"> 1(1): 1–13.</w:t>
      </w:r>
    </w:p>
    <w:p w14:paraId="36716F29"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Hidayat, Rahmat, M Sarbini, and Ali Maulida. 2022. “Peran Guru Pendidikan Agama Islam Dan Budi Pekeri Dalam Membentuk Kepribadian Siswa SMK Al-Bana Cilebut Bogor.” </w:t>
      </w:r>
      <w:r>
        <w:rPr>
          <w:rFonts w:ascii="Times New Roman" w:hAnsi="Times New Roman" w:cs="Times New Roman"/>
          <w:i/>
          <w:iCs/>
          <w:sz w:val="24"/>
          <w:szCs w:val="24"/>
        </w:rPr>
        <w:t>Prosiding Al Hidayah Pendidikan Agama Islam</w:t>
      </w:r>
      <w:r>
        <w:rPr>
          <w:rFonts w:ascii="Times New Roman" w:hAnsi="Times New Roman" w:cs="Times New Roman"/>
          <w:sz w:val="24"/>
          <w:szCs w:val="24"/>
        </w:rPr>
        <w:t xml:space="preserve"> 1(1B): 146–57.</w:t>
      </w:r>
    </w:p>
    <w:p w14:paraId="38C23A35"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Kurniawati, Unik. 2020. “Peran Orang Tua Terhadap Kemampuan Membaca Siswa Kelas 2 SD.” </w:t>
      </w:r>
      <w:r>
        <w:rPr>
          <w:rFonts w:ascii="Times New Roman" w:hAnsi="Times New Roman" w:cs="Times New Roman"/>
          <w:i/>
          <w:iCs/>
          <w:sz w:val="24"/>
          <w:szCs w:val="24"/>
        </w:rPr>
        <w:t>Jurnal of Education, Psychology and Counseling</w:t>
      </w:r>
      <w:r>
        <w:rPr>
          <w:rFonts w:ascii="Times New Roman" w:hAnsi="Times New Roman" w:cs="Times New Roman"/>
          <w:sz w:val="24"/>
          <w:szCs w:val="24"/>
        </w:rPr>
        <w:t xml:space="preserve"> 2(1): 40–50.</w:t>
      </w:r>
    </w:p>
    <w:p w14:paraId="0E3FD395"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Mandasari, Berlinda et al. 2022. “Pendampingan Pembelajaran Bahasa Inggris Bagi Siswa-Siswi Sma/Ma/Smk Di Desa Purworejo Lampung Tengah.” </w:t>
      </w:r>
      <w:r>
        <w:rPr>
          <w:rFonts w:ascii="Times New Roman" w:hAnsi="Times New Roman" w:cs="Times New Roman"/>
          <w:i/>
          <w:iCs/>
          <w:sz w:val="24"/>
          <w:szCs w:val="24"/>
        </w:rPr>
        <w:t>Community Development Journal : Jurnal Pengabdian Masyarakat</w:t>
      </w:r>
      <w:r>
        <w:rPr>
          <w:rFonts w:ascii="Times New Roman" w:hAnsi="Times New Roman" w:cs="Times New Roman"/>
          <w:sz w:val="24"/>
          <w:szCs w:val="24"/>
        </w:rPr>
        <w:t xml:space="preserve"> 3(1): 332–38.</w:t>
      </w:r>
    </w:p>
    <w:p w14:paraId="41A4A3D1"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Muawanah, Eis Imroatul, and Abdul Muhid. 2021. “Strategi Meningkatkan Motivasi Belajar Siswa Selama Pandemi Covid–19: Literature Review.” </w:t>
      </w:r>
      <w:r>
        <w:rPr>
          <w:rFonts w:ascii="Times New Roman" w:hAnsi="Times New Roman" w:cs="Times New Roman"/>
          <w:i/>
          <w:iCs/>
          <w:sz w:val="24"/>
          <w:szCs w:val="24"/>
        </w:rPr>
        <w:t>Jurnal Ilmiah Bimbingan Konseling Undiksha</w:t>
      </w:r>
      <w:r>
        <w:rPr>
          <w:rFonts w:ascii="Times New Roman" w:hAnsi="Times New Roman" w:cs="Times New Roman"/>
          <w:sz w:val="24"/>
          <w:szCs w:val="24"/>
        </w:rPr>
        <w:t xml:space="preserve"> 12(1): 90–98.</w:t>
      </w:r>
    </w:p>
    <w:p w14:paraId="642D549A"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Mubarok, Tyas Alhim. 2019. “Motivasi Belajar Bahasa Inggris Pada Siswa Madrasah Aliyah Darul Muta’allimin Sugihwaras Patianrowo Nganjuk.” </w:t>
      </w:r>
      <w:r>
        <w:rPr>
          <w:rFonts w:ascii="Times New Roman" w:hAnsi="Times New Roman" w:cs="Times New Roman"/>
          <w:i/>
          <w:iCs/>
          <w:sz w:val="24"/>
          <w:szCs w:val="24"/>
        </w:rPr>
        <w:t>Briliant: Jurnal Riset dan Konseptual</w:t>
      </w:r>
      <w:r>
        <w:rPr>
          <w:rFonts w:ascii="Times New Roman" w:hAnsi="Times New Roman" w:cs="Times New Roman"/>
          <w:sz w:val="24"/>
          <w:szCs w:val="24"/>
        </w:rPr>
        <w:t xml:space="preserve"> 4(1): 118.</w:t>
      </w:r>
    </w:p>
    <w:p w14:paraId="3A138351"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Muhammad, Maryam. 2017. “Pengaruh Motivasi Dalam Pembelajaran.” </w:t>
      </w:r>
      <w:r>
        <w:rPr>
          <w:rFonts w:ascii="Times New Roman" w:hAnsi="Times New Roman" w:cs="Times New Roman"/>
          <w:i/>
          <w:iCs/>
          <w:sz w:val="24"/>
          <w:szCs w:val="24"/>
        </w:rPr>
        <w:t>Lantanida Journal</w:t>
      </w:r>
      <w:r>
        <w:rPr>
          <w:rFonts w:ascii="Times New Roman" w:hAnsi="Times New Roman" w:cs="Times New Roman"/>
          <w:sz w:val="24"/>
          <w:szCs w:val="24"/>
        </w:rPr>
        <w:t xml:space="preserve"> 4(2): 87.</w:t>
      </w:r>
    </w:p>
    <w:p w14:paraId="19A19F6F"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Munthe, Rika Syahmewah, and Keysar Panjaitan. 2016. “Pengaruh Strategi Pembelajaran Dan Motivasi Berprestasi Terhadap Kemampuan Membaca Teks Naratif Bahasa Inggris Siswa SMP Negeri Di Kabupaten Labura.” </w:t>
      </w:r>
      <w:r>
        <w:rPr>
          <w:rFonts w:ascii="Times New Roman" w:hAnsi="Times New Roman" w:cs="Times New Roman"/>
          <w:i/>
          <w:iCs/>
          <w:sz w:val="24"/>
          <w:szCs w:val="24"/>
        </w:rPr>
        <w:t>Jurnal Teknologi Pendidikan (JTP)</w:t>
      </w:r>
      <w:r>
        <w:rPr>
          <w:rFonts w:ascii="Times New Roman" w:hAnsi="Times New Roman" w:cs="Times New Roman"/>
          <w:sz w:val="24"/>
          <w:szCs w:val="24"/>
        </w:rPr>
        <w:t xml:space="preserve"> 9(1): 51–63.</w:t>
      </w:r>
    </w:p>
    <w:p w14:paraId="686E131A"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Nuraini, Rini, Rosyid Ridlo Al Hakim, Tuti Lisnawati, and Wieke Tsanya Fariati. 2021. “Pengembangan Sistem Klasifikasi Tipe Kepribadian Siswa Secara Psikologis Dengan Algoritma Decision Tree C.45.” </w:t>
      </w:r>
      <w:r>
        <w:rPr>
          <w:rFonts w:ascii="Times New Roman" w:hAnsi="Times New Roman" w:cs="Times New Roman"/>
          <w:i/>
          <w:iCs/>
          <w:sz w:val="24"/>
          <w:szCs w:val="24"/>
        </w:rPr>
        <w:t>Building of Informatics, Technology and Science (BITS)</w:t>
      </w:r>
      <w:r>
        <w:rPr>
          <w:rFonts w:ascii="Times New Roman" w:hAnsi="Times New Roman" w:cs="Times New Roman"/>
          <w:sz w:val="24"/>
          <w:szCs w:val="24"/>
        </w:rPr>
        <w:t xml:space="preserve"> 3(3): 220–27.</w:t>
      </w:r>
    </w:p>
    <w:p w14:paraId="61DFCBF9"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Rumondor, Prasetio, and Maslukiyah Nailil. 2019. “Upaya Guru PAI Dalam Meningkatkan Kompetensi Kognitif Dan Kepribadian Siswa Di MTs Negeri 1 Bongkudai.” </w:t>
      </w:r>
      <w:r>
        <w:rPr>
          <w:rFonts w:ascii="Times New Roman" w:hAnsi="Times New Roman" w:cs="Times New Roman"/>
          <w:i/>
          <w:iCs/>
          <w:sz w:val="24"/>
          <w:szCs w:val="24"/>
        </w:rPr>
        <w:t>Edureliga: Jurnal Pendidikan Agama Islam</w:t>
      </w:r>
      <w:r>
        <w:rPr>
          <w:rFonts w:ascii="Times New Roman" w:hAnsi="Times New Roman" w:cs="Times New Roman"/>
          <w:sz w:val="24"/>
          <w:szCs w:val="24"/>
        </w:rPr>
        <w:t xml:space="preserve"> 3(1): 41–58. https://ejournal.unuja.ac.id/index.php/edureligia/issue/view/84.</w:t>
      </w:r>
    </w:p>
    <w:p w14:paraId="61A0EF24"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Savitri, Diva. 2019. “Pengaruh Kepribadian Dan Kecerdasan Emosional Terhadap Motivasi Belajar PAI Siswa Kelas X SMAN 1 Ponorogo Tahun Ajaran 2018/2019.” Institut Agama Islam Negeri Ponorog.</w:t>
      </w:r>
    </w:p>
    <w:p w14:paraId="76031031"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Sulastri, Hemas Maya, Yopa Taufik Saleh, and Sunanih Sunanih. 2020. “Pengaruh Media Kartu Kuartet Terhadap Kemampuan Membaca Siswa Dalam Pelajaran Bahasa Indonesia.” </w:t>
      </w:r>
      <w:r>
        <w:rPr>
          <w:rFonts w:ascii="Times New Roman" w:hAnsi="Times New Roman" w:cs="Times New Roman"/>
          <w:i/>
          <w:iCs/>
          <w:sz w:val="24"/>
          <w:szCs w:val="24"/>
        </w:rPr>
        <w:t>Jurnal Penelitian dan Pengembangan Pendidikan</w:t>
      </w:r>
      <w:r>
        <w:rPr>
          <w:rFonts w:ascii="Times New Roman" w:hAnsi="Times New Roman" w:cs="Times New Roman"/>
          <w:sz w:val="24"/>
          <w:szCs w:val="24"/>
        </w:rPr>
        <w:t xml:space="preserve"> 4(3): 486.</w:t>
      </w:r>
    </w:p>
    <w:p w14:paraId="6E911904"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Tanti, Tanti et al. 2020. “Students’ Self-Regulation and Motivation in Learning Science.” </w:t>
      </w:r>
      <w:r>
        <w:rPr>
          <w:rFonts w:ascii="Times New Roman" w:hAnsi="Times New Roman" w:cs="Times New Roman"/>
          <w:i/>
          <w:iCs/>
          <w:sz w:val="24"/>
          <w:szCs w:val="24"/>
        </w:rPr>
        <w:t>International Journal of Evaluation and Research in Education</w:t>
      </w:r>
      <w:r>
        <w:rPr>
          <w:rFonts w:ascii="Times New Roman" w:hAnsi="Times New Roman" w:cs="Times New Roman"/>
          <w:sz w:val="24"/>
          <w:szCs w:val="24"/>
        </w:rPr>
        <w:t xml:space="preserve"> 9(4): 865–73.</w:t>
      </w:r>
    </w:p>
    <w:p w14:paraId="4F7999FA" w14:textId="77777777" w:rsidR="002D6064" w:rsidRDefault="00B17D2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Wulandari, Dinda Arum. 2022. “Kompetensi Kepribadian Dan Sosial Guru Mata Pelajaran PAI Kelas VII SMP Negeri 3 Pemalang.” Universitas Islam Negeri Walisongo Semarang.</w:t>
      </w:r>
    </w:p>
    <w:p w14:paraId="662A4ED0" w14:textId="35A8155E" w:rsidR="002D6064" w:rsidRDefault="00B17D25" w:rsidP="00F00CE0">
      <w:pPr>
        <w:spacing w:after="0" w:line="240" w:lineRule="auto"/>
        <w:jc w:val="both"/>
        <w:rPr>
          <w:rFonts w:ascii="Book Antiqua" w:hAnsi="Book Antiqua" w:cs="Times New Roman"/>
          <w:sz w:val="24"/>
          <w:szCs w:val="24"/>
          <w:lang w:val="id-ID"/>
        </w:rPr>
      </w:pPr>
      <w:r>
        <w:rPr>
          <w:rFonts w:ascii="Times New Roman" w:hAnsi="Times New Roman" w:cs="Times New Roman"/>
          <w:sz w:val="24"/>
          <w:szCs w:val="24"/>
        </w:rPr>
        <w:fldChar w:fldCharType="end"/>
      </w:r>
    </w:p>
    <w:sectPr w:rsidR="002D6064" w:rsidSect="00EF1FFE">
      <w:headerReference w:type="default" r:id="rId8"/>
      <w:footerReference w:type="default" r:id="rId9"/>
      <w:headerReference w:type="first" r:id="rId10"/>
      <w:footerReference w:type="first" r:id="rId11"/>
      <w:footnotePr>
        <w:numFmt w:val="chicago"/>
      </w:footnotePr>
      <w:pgSz w:w="11906" w:h="16838"/>
      <w:pgMar w:top="1728" w:right="2016" w:bottom="1728" w:left="2016" w:header="720" w:footer="720"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B530" w14:textId="77777777" w:rsidR="00312B34" w:rsidRDefault="00312B34">
      <w:pPr>
        <w:spacing w:line="240" w:lineRule="auto"/>
      </w:pPr>
      <w:r>
        <w:separator/>
      </w:r>
    </w:p>
  </w:endnote>
  <w:endnote w:type="continuationSeparator" w:id="0">
    <w:p w14:paraId="2AF8BBF1" w14:textId="77777777" w:rsidR="00312B34" w:rsidRDefault="00312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3A6E" w14:textId="13D4987F" w:rsidR="009947D1" w:rsidRPr="00EF1FFE" w:rsidRDefault="00EF1FFE">
    <w:pPr>
      <w:pStyle w:val="Footer"/>
      <w:rPr>
        <w:rFonts w:ascii="Book Antiqua" w:hAnsi="Book Antiqua"/>
        <w:iCs/>
        <w:sz w:val="20"/>
        <w:szCs w:val="20"/>
        <w:lang w:val="id-ID"/>
      </w:rPr>
    </w:pPr>
    <w:hyperlink r:id="rId1" w:history="1">
      <w:r w:rsidRPr="003A0B8C">
        <w:rPr>
          <w:rStyle w:val="Hyperlink"/>
          <w:rFonts w:ascii="Book Antiqua" w:hAnsi="Book Antiqua"/>
          <w:iCs/>
          <w:sz w:val="20"/>
          <w:szCs w:val="20"/>
        </w:rPr>
        <w:t>http://journal.upgris.ac.id/index.php/eternal/index</w:t>
      </w:r>
    </w:hyperlink>
    <w:r>
      <w:rPr>
        <w:rFonts w:ascii="Book Antiqua" w:hAnsi="Book Antiqua"/>
        <w:iCs/>
        <w:sz w:val="20"/>
        <w:szCs w:val="20"/>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184B" w14:textId="77777777" w:rsidR="00EF1FFE" w:rsidRDefault="00EF1FFE" w:rsidP="00EF1FFE">
    <w:pPr>
      <w:pStyle w:val="Footer"/>
    </w:pPr>
    <w:r>
      <w:rPr>
        <w:noProof/>
      </w:rPr>
      <mc:AlternateContent>
        <mc:Choice Requires="wps">
          <w:drawing>
            <wp:anchor distT="0" distB="0" distL="114300" distR="114300" simplePos="0" relativeHeight="251659264" behindDoc="0" locked="0" layoutInCell="1" allowOverlap="1" wp14:anchorId="68C1DF62" wp14:editId="70A3A83D">
              <wp:simplePos x="0" y="0"/>
              <wp:positionH relativeFrom="margin">
                <wp:align>left</wp:align>
              </wp:positionH>
              <wp:positionV relativeFrom="paragraph">
                <wp:posOffset>148751</wp:posOffset>
              </wp:positionV>
              <wp:extent cx="23717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4F6122" id="Straight Connector 10"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1.7pt" to="186.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" strokecolor="black [3040]">
              <w10:wrap anchorx="margin"/>
            </v:line>
          </w:pict>
        </mc:Fallback>
      </mc:AlternateContent>
    </w:r>
  </w:p>
  <w:p w14:paraId="6CBCB9BA" w14:textId="058EBA31" w:rsidR="00EF1FFE" w:rsidRPr="00A2553A" w:rsidRDefault="00EF1FFE" w:rsidP="00EF1FFE">
    <w:pPr>
      <w:pStyle w:val="Footer"/>
      <w:tabs>
        <w:tab w:val="clear" w:pos="4680"/>
        <w:tab w:val="center" w:pos="7797"/>
      </w:tabs>
      <w:rPr>
        <w:rFonts w:ascii="Book Antiqua" w:hAnsi="Book Antiqua"/>
        <w:sz w:val="20"/>
        <w:szCs w:val="20"/>
        <w:lang w:val="id-ID"/>
      </w:rPr>
    </w:pPr>
    <w:r w:rsidRPr="00B8311B">
      <w:rPr>
        <w:rStyle w:val="FootnoteReference"/>
        <w:sz w:val="20"/>
        <w:szCs w:val="20"/>
      </w:rPr>
      <w:footnoteRef/>
    </w:r>
    <w:r w:rsidRPr="00B8311B">
      <w:rPr>
        <w:sz w:val="20"/>
        <w:szCs w:val="20"/>
      </w:rPr>
      <w:t xml:space="preserve"> </w:t>
    </w:r>
    <w:r w:rsidRPr="00B8311B">
      <w:rPr>
        <w:rFonts w:ascii="Book Antiqua" w:hAnsi="Book Antiqua"/>
        <w:sz w:val="20"/>
        <w:szCs w:val="20"/>
        <w:lang w:val="en-US"/>
      </w:rPr>
      <w:t xml:space="preserve">Corresponding author: </w:t>
    </w:r>
    <w:r>
      <w:rPr>
        <w:rFonts w:ascii="Book Antiqua" w:hAnsi="Book Antiqua"/>
        <w:i/>
        <w:iCs/>
        <w:sz w:val="20"/>
        <w:szCs w:val="20"/>
        <w:lang w:val="id-ID"/>
      </w:rPr>
      <w:t>Dela Safitri</w:t>
    </w:r>
    <w:r>
      <w:rPr>
        <w:rFonts w:ascii="Book Antiqua" w:hAnsi="Book Antiqua"/>
        <w:i/>
        <w:iCs/>
        <w:sz w:val="20"/>
        <w:szCs w:val="20"/>
        <w:lang w:val="id-ID"/>
      </w:rPr>
      <w:t xml:space="preserve">, </w:t>
    </w:r>
    <w:hyperlink r:id="rId1" w:history="1">
      <w:r w:rsidRPr="003A0B8C">
        <w:rPr>
          <w:rStyle w:val="Hyperlink"/>
          <w:rFonts w:ascii="Book Antiqua" w:hAnsi="Book Antiqua"/>
          <w:i/>
          <w:iCs/>
          <w:sz w:val="20"/>
          <w:szCs w:val="20"/>
          <w:lang w:val="id-ID"/>
        </w:rPr>
        <w:t>delasafitri841@gmail.com</w:t>
      </w:r>
    </w:hyperlink>
    <w:r>
      <w:rPr>
        <w:rFonts w:ascii="Book Antiqua" w:hAnsi="Book Antiqua"/>
        <w:i/>
        <w:iCs/>
        <w:sz w:val="20"/>
        <w:szCs w:val="20"/>
        <w:lang w:val="id-ID"/>
      </w:rPr>
      <w:t xml:space="preserve"> </w:t>
    </w:r>
  </w:p>
  <w:p w14:paraId="1F2E1586" w14:textId="77777777" w:rsidR="00EF1FFE" w:rsidRDefault="00EF1FFE" w:rsidP="00EF1FFE">
    <w:pPr>
      <w:pStyle w:val="Footer"/>
      <w:rPr>
        <w:rFonts w:ascii="Book Antiqua" w:hAnsi="Book Antiqua"/>
        <w:sz w:val="18"/>
        <w:szCs w:val="18"/>
      </w:rPr>
    </w:pPr>
  </w:p>
  <w:p w14:paraId="45FC8062" w14:textId="77777777" w:rsidR="00EF1FFE" w:rsidRDefault="00EF1FFE" w:rsidP="00EF1FFE">
    <w:pPr>
      <w:pStyle w:val="Footer"/>
      <w:rPr>
        <w:rFonts w:ascii="Book Antiqua" w:hAnsi="Book Antiqua"/>
        <w:sz w:val="18"/>
        <w:szCs w:val="18"/>
      </w:rPr>
    </w:pPr>
    <w:r>
      <w:rPr>
        <w:rFonts w:ascii="Book Antiqua" w:hAnsi="Book Antiqua"/>
        <w:sz w:val="18"/>
        <w:szCs w:val="18"/>
      </w:rPr>
      <w:t>©Authors</w:t>
    </w:r>
  </w:p>
  <w:p w14:paraId="02D60D1E" w14:textId="77777777" w:rsidR="00EF1FFE" w:rsidRDefault="00EF1FFE" w:rsidP="00EF1FFE">
    <w:pPr>
      <w:pStyle w:val="Footer"/>
      <w:rPr>
        <w:rFonts w:ascii="Book Antiqua" w:hAnsi="Book Antiqua"/>
        <w:sz w:val="18"/>
        <w:szCs w:val="18"/>
      </w:rPr>
    </w:pPr>
    <w:r>
      <w:rPr>
        <w:rFonts w:ascii="Book Antiqua" w:hAnsi="Book Antiqua"/>
        <w:sz w:val="18"/>
        <w:szCs w:val="18"/>
      </w:rPr>
      <w:t>This work is licensed under a Creative Commons Attribution-</w:t>
    </w:r>
    <w:proofErr w:type="spellStart"/>
    <w:r>
      <w:rPr>
        <w:rFonts w:ascii="Book Antiqua" w:hAnsi="Book Antiqua"/>
        <w:sz w:val="18"/>
        <w:szCs w:val="18"/>
      </w:rPr>
      <w:t>NonCommercial</w:t>
    </w:r>
    <w:proofErr w:type="spellEnd"/>
    <w:r>
      <w:rPr>
        <w:rFonts w:ascii="Book Antiqua" w:hAnsi="Book Antiqua"/>
        <w:sz w:val="18"/>
        <w:szCs w:val="18"/>
      </w:rPr>
      <w:t>-</w:t>
    </w:r>
    <w:proofErr w:type="spellStart"/>
    <w:r>
      <w:rPr>
        <w:rFonts w:ascii="Book Antiqua" w:hAnsi="Book Antiqua"/>
        <w:sz w:val="18"/>
        <w:szCs w:val="18"/>
      </w:rPr>
      <w:t>NoDerivatives</w:t>
    </w:r>
    <w:proofErr w:type="spellEnd"/>
    <w:r>
      <w:rPr>
        <w:rFonts w:ascii="Book Antiqua" w:hAnsi="Book Antiqua"/>
        <w:sz w:val="18"/>
        <w:szCs w:val="18"/>
      </w:rPr>
      <w:t xml:space="preserve"> 4.0 International License (CC BY-NC-</w:t>
    </w:r>
    <w:r>
      <w:rPr>
        <w:rFonts w:ascii="Book Antiqua" w:hAnsi="Book Antiqua"/>
        <w:sz w:val="18"/>
        <w:szCs w:val="18"/>
        <w:lang w:val="zh-CN"/>
      </w:rPr>
      <w:t>SA</w:t>
    </w:r>
    <w:r>
      <w:rPr>
        <w:rFonts w:ascii="Book Antiqua" w:hAnsi="Book Antiqua"/>
        <w:sz w:val="18"/>
        <w:szCs w:val="18"/>
      </w:rPr>
      <w:t xml:space="preserve">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B689" w14:textId="77777777" w:rsidR="00312B34" w:rsidRDefault="00312B34">
      <w:pPr>
        <w:spacing w:after="0"/>
      </w:pPr>
      <w:r>
        <w:separator/>
      </w:r>
    </w:p>
  </w:footnote>
  <w:footnote w:type="continuationSeparator" w:id="0">
    <w:p w14:paraId="77A6C10E" w14:textId="77777777" w:rsidR="00312B34" w:rsidRDefault="00312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Cs/>
      </w:rPr>
      <w:id w:val="665899845"/>
    </w:sdtPr>
    <w:sdtEndPr>
      <w:rPr>
        <w:rFonts w:ascii="Book Antiqua" w:hAnsi="Book Antiqua"/>
        <w:sz w:val="20"/>
        <w:szCs w:val="20"/>
      </w:rPr>
    </w:sdtEndPr>
    <w:sdtContent>
      <w:p w14:paraId="21B3EFC2" w14:textId="77777777" w:rsidR="009947D1" w:rsidRDefault="009947D1">
        <w:pPr>
          <w:pStyle w:val="Header"/>
          <w:jc w:val="right"/>
          <w:rPr>
            <w:rFonts w:ascii="Book Antiqua" w:hAnsi="Book Antiqua"/>
            <w:iCs/>
            <w:sz w:val="20"/>
            <w:szCs w:val="20"/>
          </w:rPr>
        </w:pPr>
        <w:r>
          <w:rPr>
            <w:rFonts w:ascii="Book Antiqua" w:hAnsi="Book Antiqua"/>
            <w:iCs/>
            <w:sz w:val="20"/>
            <w:szCs w:val="20"/>
          </w:rPr>
          <w:fldChar w:fldCharType="begin"/>
        </w:r>
        <w:r>
          <w:rPr>
            <w:rFonts w:ascii="Book Antiqua" w:hAnsi="Book Antiqua"/>
            <w:iCs/>
            <w:sz w:val="20"/>
            <w:szCs w:val="20"/>
          </w:rPr>
          <w:instrText xml:space="preserve"> PAGE </w:instrText>
        </w:r>
        <w:r>
          <w:rPr>
            <w:rFonts w:ascii="Book Antiqua" w:hAnsi="Book Antiqua"/>
            <w:iCs/>
            <w:sz w:val="20"/>
            <w:szCs w:val="20"/>
          </w:rPr>
          <w:fldChar w:fldCharType="separate"/>
        </w:r>
        <w:r>
          <w:rPr>
            <w:rFonts w:ascii="Book Antiqua" w:hAnsi="Book Antiqua"/>
            <w:iCs/>
            <w:noProof/>
            <w:sz w:val="20"/>
            <w:szCs w:val="20"/>
          </w:rPr>
          <w:t>16</w:t>
        </w:r>
        <w:r>
          <w:rPr>
            <w:rFonts w:ascii="Book Antiqua" w:hAnsi="Book Antiqua"/>
            <w:iCs/>
            <w:sz w:val="20"/>
            <w:szCs w:val="20"/>
          </w:rPr>
          <w:fldChar w:fldCharType="end"/>
        </w:r>
      </w:p>
    </w:sdtContent>
  </w:sdt>
  <w:p w14:paraId="0F01AACA" w14:textId="77777777" w:rsidR="009947D1" w:rsidRDefault="009947D1">
    <w:pPr>
      <w:pStyle w:val="Head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1524668105"/>
    </w:sdtPr>
    <w:sdtEndPr/>
    <w:sdtContent>
      <w:p w14:paraId="273493B9" w14:textId="77777777" w:rsidR="009947D1" w:rsidRDefault="009947D1">
        <w:pPr>
          <w:pStyle w:val="Header"/>
          <w:jc w:val="right"/>
          <w:rPr>
            <w:rFonts w:ascii="Book Antiqua" w:hAnsi="Book Antiqua"/>
            <w:sz w:val="20"/>
            <w:szCs w:val="20"/>
          </w:rPr>
        </w:pPr>
        <w:r>
          <w:rPr>
            <w:rFonts w:ascii="Book Antiqua" w:hAnsi="Book Antiqua"/>
            <w:sz w:val="20"/>
            <w:szCs w:val="20"/>
          </w:rPr>
          <w:fldChar w:fldCharType="begin"/>
        </w:r>
        <w:r>
          <w:rPr>
            <w:rFonts w:ascii="Book Antiqua" w:hAnsi="Book Antiqua"/>
            <w:sz w:val="20"/>
            <w:szCs w:val="20"/>
          </w:rPr>
          <w:instrText xml:space="preserve"> PAGE   \* MERGEFORMAT </w:instrText>
        </w:r>
        <w:r>
          <w:rPr>
            <w:rFonts w:ascii="Book Antiqua" w:hAnsi="Book Antiqua"/>
            <w:sz w:val="20"/>
            <w:szCs w:val="20"/>
          </w:rPr>
          <w:fldChar w:fldCharType="separate"/>
        </w:r>
        <w:r>
          <w:rPr>
            <w:rFonts w:ascii="Book Antiqua" w:hAnsi="Book Antiqua"/>
            <w:noProof/>
            <w:sz w:val="20"/>
            <w:szCs w:val="20"/>
          </w:rPr>
          <w:t>14</w:t>
        </w:r>
        <w:r>
          <w:rPr>
            <w:rFonts w:ascii="Book Antiqua" w:hAnsi="Book Antiqua"/>
            <w:sz w:val="20"/>
            <w:szCs w:val="20"/>
          </w:rPr>
          <w:fldChar w:fldCharType="end"/>
        </w:r>
      </w:p>
    </w:sdtContent>
  </w:sdt>
  <w:p w14:paraId="2713F2B4" w14:textId="77777777" w:rsidR="009947D1" w:rsidRDefault="009947D1">
    <w:pPr>
      <w:pStyle w:val="Header"/>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4D28"/>
    <w:multiLevelType w:val="multilevel"/>
    <w:tmpl w:val="08764D28"/>
    <w:lvl w:ilvl="0">
      <w:start w:val="1"/>
      <w:numFmt w:val="decimal"/>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02008A"/>
    <w:multiLevelType w:val="multilevel"/>
    <w:tmpl w:val="3F020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F71381"/>
    <w:multiLevelType w:val="multilevel"/>
    <w:tmpl w:val="40F71381"/>
    <w:lvl w:ilvl="0">
      <w:start w:val="1"/>
      <w:numFmt w:val="decimal"/>
      <w:pStyle w:val="TableTitle"/>
      <w:lvlText w:val="Table %1"/>
      <w:lvlJc w:val="left"/>
      <w:pPr>
        <w:tabs>
          <w:tab w:val="left" w:pos="1134"/>
        </w:tabs>
        <w:ind w:left="851" w:hanging="567"/>
      </w:pPr>
      <w:rPr>
        <w:rFonts w:hint="default"/>
        <w:b/>
        <w:sz w:val="22"/>
        <w:szCs w:val="22"/>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573C5CFE"/>
    <w:multiLevelType w:val="multilevel"/>
    <w:tmpl w:val="573C5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2F0B15"/>
    <w:multiLevelType w:val="multilevel"/>
    <w:tmpl w:val="6C2F0B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d99pwzv5wvxqe2aaevptt1fpzsd90prpv9&quot;&gt;research&lt;record-ids&gt;&lt;item&gt;204&lt;/item&gt;&lt;item&gt;220&lt;/item&gt;&lt;item&gt;233&lt;/item&gt;&lt;item&gt;287&lt;/item&gt;&lt;item&gt;296&lt;/item&gt;&lt;item&gt;298&lt;/item&gt;&lt;item&gt;299&lt;/item&gt;&lt;item&gt;300&lt;/item&gt;&lt;item&gt;310&lt;/item&gt;&lt;item&gt;316&lt;/item&gt;&lt;item&gt;338&lt;/item&gt;&lt;item&gt;339&lt;/item&gt;&lt;item&gt;340&lt;/item&gt;&lt;item&gt;346&lt;/item&gt;&lt;item&gt;348&lt;/item&gt;&lt;item&gt;349&lt;/item&gt;&lt;item&gt;350&lt;/item&gt;&lt;item&gt;352&lt;/item&gt;&lt;item&gt;353&lt;/item&gt;&lt;item&gt;354&lt;/item&gt;&lt;item&gt;355&lt;/item&gt;&lt;item&gt;356&lt;/item&gt;&lt;item&gt;357&lt;/item&gt;&lt;item&gt;358&lt;/item&gt;&lt;item&gt;359&lt;/item&gt;&lt;item&gt;360&lt;/item&gt;&lt;item&gt;361&lt;/item&gt;&lt;item&gt;362&lt;/item&gt;&lt;item&gt;364&lt;/item&gt;&lt;item&gt;367&lt;/item&gt;&lt;item&gt;368&lt;/item&gt;&lt;item&gt;369&lt;/item&gt;&lt;item&gt;372&lt;/item&gt;&lt;item&gt;373&lt;/item&gt;&lt;item&gt;374&lt;/item&gt;&lt;item&gt;375&lt;/item&gt;&lt;item&gt;377&lt;/item&gt;&lt;item&gt;379&lt;/item&gt;&lt;item&gt;384&lt;/item&gt;&lt;item&gt;385&lt;/item&gt;&lt;item&gt;392&lt;/item&gt;&lt;item&gt;393&lt;/item&gt;&lt;item&gt;394&lt;/item&gt;&lt;item&gt;396&lt;/item&gt;&lt;item&gt;397&lt;/item&gt;&lt;item&gt;398&lt;/item&gt;&lt;/record-ids&gt;&lt;/item&gt;&lt;/Libraries&gt;"/>
  </w:docVars>
  <w:rsids>
    <w:rsidRoot w:val="005A45ED"/>
    <w:rsid w:val="00000AFD"/>
    <w:rsid w:val="00010499"/>
    <w:rsid w:val="00046E7D"/>
    <w:rsid w:val="00054C3E"/>
    <w:rsid w:val="00065D94"/>
    <w:rsid w:val="000A0896"/>
    <w:rsid w:val="000C52A2"/>
    <w:rsid w:val="000D0092"/>
    <w:rsid w:val="000D6039"/>
    <w:rsid w:val="000E7F70"/>
    <w:rsid w:val="00100AA4"/>
    <w:rsid w:val="00114222"/>
    <w:rsid w:val="001307AB"/>
    <w:rsid w:val="00137B76"/>
    <w:rsid w:val="001479D2"/>
    <w:rsid w:val="00163CEA"/>
    <w:rsid w:val="001A630E"/>
    <w:rsid w:val="001B2B9D"/>
    <w:rsid w:val="001E46A6"/>
    <w:rsid w:val="001E7F14"/>
    <w:rsid w:val="001F6915"/>
    <w:rsid w:val="001F6F41"/>
    <w:rsid w:val="001F7552"/>
    <w:rsid w:val="001F7E08"/>
    <w:rsid w:val="00201705"/>
    <w:rsid w:val="00204447"/>
    <w:rsid w:val="00211BCB"/>
    <w:rsid w:val="00213AC6"/>
    <w:rsid w:val="00230207"/>
    <w:rsid w:val="0023349D"/>
    <w:rsid w:val="00255C93"/>
    <w:rsid w:val="002601A3"/>
    <w:rsid w:val="002742DA"/>
    <w:rsid w:val="00274F0C"/>
    <w:rsid w:val="00277118"/>
    <w:rsid w:val="00280330"/>
    <w:rsid w:val="0029172F"/>
    <w:rsid w:val="00297787"/>
    <w:rsid w:val="002C6F9A"/>
    <w:rsid w:val="002D34CC"/>
    <w:rsid w:val="002D6064"/>
    <w:rsid w:val="003051DE"/>
    <w:rsid w:val="00312B34"/>
    <w:rsid w:val="00314845"/>
    <w:rsid w:val="00314EC4"/>
    <w:rsid w:val="00320B60"/>
    <w:rsid w:val="00332299"/>
    <w:rsid w:val="00350EA3"/>
    <w:rsid w:val="00364DAB"/>
    <w:rsid w:val="00364F49"/>
    <w:rsid w:val="00373839"/>
    <w:rsid w:val="003B268A"/>
    <w:rsid w:val="003C7E15"/>
    <w:rsid w:val="003E0DEE"/>
    <w:rsid w:val="003E363C"/>
    <w:rsid w:val="003F5DBF"/>
    <w:rsid w:val="003F65EA"/>
    <w:rsid w:val="003F684D"/>
    <w:rsid w:val="003F6B92"/>
    <w:rsid w:val="00412E07"/>
    <w:rsid w:val="004139F8"/>
    <w:rsid w:val="00424236"/>
    <w:rsid w:val="00430515"/>
    <w:rsid w:val="004438AA"/>
    <w:rsid w:val="00445609"/>
    <w:rsid w:val="0046106C"/>
    <w:rsid w:val="004769D3"/>
    <w:rsid w:val="004961F1"/>
    <w:rsid w:val="004A126B"/>
    <w:rsid w:val="004A5954"/>
    <w:rsid w:val="004C49D4"/>
    <w:rsid w:val="005232FD"/>
    <w:rsid w:val="00524C1A"/>
    <w:rsid w:val="00527191"/>
    <w:rsid w:val="00552B51"/>
    <w:rsid w:val="005642A4"/>
    <w:rsid w:val="00572D81"/>
    <w:rsid w:val="00573E1F"/>
    <w:rsid w:val="00583F72"/>
    <w:rsid w:val="00587F44"/>
    <w:rsid w:val="005924B5"/>
    <w:rsid w:val="005A45ED"/>
    <w:rsid w:val="005C2D57"/>
    <w:rsid w:val="005C3CD2"/>
    <w:rsid w:val="005F1534"/>
    <w:rsid w:val="00601C35"/>
    <w:rsid w:val="00621181"/>
    <w:rsid w:val="006320C5"/>
    <w:rsid w:val="00632AAC"/>
    <w:rsid w:val="00632DC6"/>
    <w:rsid w:val="0064768F"/>
    <w:rsid w:val="006700A3"/>
    <w:rsid w:val="006777A6"/>
    <w:rsid w:val="006A2E52"/>
    <w:rsid w:val="006A30B7"/>
    <w:rsid w:val="006B5FB1"/>
    <w:rsid w:val="006D2DC7"/>
    <w:rsid w:val="006D6E19"/>
    <w:rsid w:val="006E6F8B"/>
    <w:rsid w:val="006F2CD8"/>
    <w:rsid w:val="007206E9"/>
    <w:rsid w:val="00721D19"/>
    <w:rsid w:val="00724BBB"/>
    <w:rsid w:val="00737D23"/>
    <w:rsid w:val="007449F9"/>
    <w:rsid w:val="0076044F"/>
    <w:rsid w:val="00775FB9"/>
    <w:rsid w:val="00782511"/>
    <w:rsid w:val="00785E76"/>
    <w:rsid w:val="00795279"/>
    <w:rsid w:val="007A3239"/>
    <w:rsid w:val="007A7131"/>
    <w:rsid w:val="007D07E3"/>
    <w:rsid w:val="00830525"/>
    <w:rsid w:val="008360CC"/>
    <w:rsid w:val="00836F19"/>
    <w:rsid w:val="00840503"/>
    <w:rsid w:val="00842190"/>
    <w:rsid w:val="00871369"/>
    <w:rsid w:val="00877453"/>
    <w:rsid w:val="00881A46"/>
    <w:rsid w:val="00886B04"/>
    <w:rsid w:val="008B7F24"/>
    <w:rsid w:val="008C129F"/>
    <w:rsid w:val="00955E9C"/>
    <w:rsid w:val="00966B9E"/>
    <w:rsid w:val="009947D1"/>
    <w:rsid w:val="009A1EE4"/>
    <w:rsid w:val="009B2A82"/>
    <w:rsid w:val="009B3692"/>
    <w:rsid w:val="009B40EC"/>
    <w:rsid w:val="009B6B4A"/>
    <w:rsid w:val="009E5279"/>
    <w:rsid w:val="009E620A"/>
    <w:rsid w:val="009E7573"/>
    <w:rsid w:val="009F54ED"/>
    <w:rsid w:val="00A008F3"/>
    <w:rsid w:val="00A05EB2"/>
    <w:rsid w:val="00A07A2A"/>
    <w:rsid w:val="00A125E2"/>
    <w:rsid w:val="00A27410"/>
    <w:rsid w:val="00A47EF0"/>
    <w:rsid w:val="00A80C8C"/>
    <w:rsid w:val="00A95BC9"/>
    <w:rsid w:val="00A979F4"/>
    <w:rsid w:val="00AD1F70"/>
    <w:rsid w:val="00AD5CF4"/>
    <w:rsid w:val="00AE619C"/>
    <w:rsid w:val="00AF443A"/>
    <w:rsid w:val="00B10C06"/>
    <w:rsid w:val="00B17D25"/>
    <w:rsid w:val="00B237B9"/>
    <w:rsid w:val="00B362DE"/>
    <w:rsid w:val="00B47A53"/>
    <w:rsid w:val="00B54884"/>
    <w:rsid w:val="00B7041B"/>
    <w:rsid w:val="00B87026"/>
    <w:rsid w:val="00B9192A"/>
    <w:rsid w:val="00BD5015"/>
    <w:rsid w:val="00BE515F"/>
    <w:rsid w:val="00C0795F"/>
    <w:rsid w:val="00C24C47"/>
    <w:rsid w:val="00C341F6"/>
    <w:rsid w:val="00C44EB2"/>
    <w:rsid w:val="00C50014"/>
    <w:rsid w:val="00C57DB0"/>
    <w:rsid w:val="00C600D2"/>
    <w:rsid w:val="00C65702"/>
    <w:rsid w:val="00C72E04"/>
    <w:rsid w:val="00C81484"/>
    <w:rsid w:val="00C85375"/>
    <w:rsid w:val="00C933F2"/>
    <w:rsid w:val="00CB0867"/>
    <w:rsid w:val="00CC7C53"/>
    <w:rsid w:val="00CD2BEC"/>
    <w:rsid w:val="00CF31CE"/>
    <w:rsid w:val="00CF4BBD"/>
    <w:rsid w:val="00D043C1"/>
    <w:rsid w:val="00D105FE"/>
    <w:rsid w:val="00D4034D"/>
    <w:rsid w:val="00D51190"/>
    <w:rsid w:val="00D57C2D"/>
    <w:rsid w:val="00D7791E"/>
    <w:rsid w:val="00D9378C"/>
    <w:rsid w:val="00D9615A"/>
    <w:rsid w:val="00DA3B59"/>
    <w:rsid w:val="00DB23FF"/>
    <w:rsid w:val="00DB7F35"/>
    <w:rsid w:val="00DC288A"/>
    <w:rsid w:val="00DE6B8B"/>
    <w:rsid w:val="00E1062E"/>
    <w:rsid w:val="00E20983"/>
    <w:rsid w:val="00E24FFE"/>
    <w:rsid w:val="00E4066B"/>
    <w:rsid w:val="00E648CF"/>
    <w:rsid w:val="00E81B80"/>
    <w:rsid w:val="00E956DE"/>
    <w:rsid w:val="00EA7346"/>
    <w:rsid w:val="00EC66E9"/>
    <w:rsid w:val="00EF1FFE"/>
    <w:rsid w:val="00F00CE0"/>
    <w:rsid w:val="00F1676B"/>
    <w:rsid w:val="00F32E52"/>
    <w:rsid w:val="00F51AA2"/>
    <w:rsid w:val="00F61E22"/>
    <w:rsid w:val="00F62048"/>
    <w:rsid w:val="00F62841"/>
    <w:rsid w:val="00F63F42"/>
    <w:rsid w:val="00F73CCC"/>
    <w:rsid w:val="00F77F27"/>
    <w:rsid w:val="00F93FCE"/>
    <w:rsid w:val="00FB79A6"/>
    <w:rsid w:val="00FD6B1B"/>
    <w:rsid w:val="05B437EC"/>
    <w:rsid w:val="153D7CE7"/>
    <w:rsid w:val="1C7A6BC9"/>
    <w:rsid w:val="259E0DCF"/>
    <w:rsid w:val="2D65516A"/>
    <w:rsid w:val="487F0B3F"/>
    <w:rsid w:val="49D31821"/>
    <w:rsid w:val="4FAE4AAC"/>
    <w:rsid w:val="59AB2BA1"/>
    <w:rsid w:val="5FB32210"/>
    <w:rsid w:val="6184659D"/>
    <w:rsid w:val="6407045C"/>
    <w:rsid w:val="70330AB1"/>
    <w:rsid w:val="7256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AFFC"/>
  <w15:docId w15:val="{3FE7A25D-556C-4582-94E8-DDF3EEFC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30"/>
    <w:pPr>
      <w:spacing w:after="200" w:line="276" w:lineRule="auto"/>
    </w:pPr>
    <w:rPr>
      <w:sz w:val="22"/>
      <w:szCs w:val="22"/>
      <w:lang w:val="en-GB"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numPr>
        <w:numId w:val="1"/>
      </w:numPr>
      <w:spacing w:before="200" w:after="0"/>
      <w:outlineLvl w:val="2"/>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nhideWhenUsed/>
    <w:qFormat/>
    <w:rPr>
      <w:color w:val="0000FF" w:themeColor="hyperlink"/>
      <w:u w:val="single"/>
    </w:rPr>
  </w:style>
  <w:style w:type="paragraph" w:styleId="Subtitle">
    <w:name w:val="Subtitle"/>
    <w:basedOn w:val="Normal"/>
    <w:next w:val="Normal"/>
    <w:uiPriority w:val="11"/>
    <w:qFormat/>
    <w:pPr>
      <w:spacing w:after="0"/>
    </w:pPr>
    <w:rPr>
      <w:rFonts w:eastAsia="Times New Roman" w:cs="Times New Roman"/>
      <w:iCs/>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NoSpacing">
    <w:name w:val="No Spacing"/>
    <w:uiPriority w:val="1"/>
    <w:qFormat/>
    <w:rPr>
      <w:sz w:val="22"/>
      <w:szCs w:val="22"/>
      <w:lang w:val="en-GB"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Excerpt">
    <w:name w:val="Excerpt"/>
    <w:basedOn w:val="Normal"/>
    <w:qFormat/>
    <w:rPr>
      <w:rFonts w:ascii="Courier New" w:hAnsi="Courier New"/>
      <w:sz w:val="20"/>
    </w:rPr>
  </w:style>
  <w:style w:type="paragraph" w:customStyle="1" w:styleId="TableTitle">
    <w:name w:val="Table Title"/>
    <w:basedOn w:val="Normal"/>
    <w:qFormat/>
    <w:pPr>
      <w:numPr>
        <w:numId w:val="2"/>
      </w:numPr>
      <w:spacing w:before="120" w:after="120"/>
      <w:ind w:right="284"/>
      <w:jc w:val="center"/>
    </w:pPr>
    <w:rPr>
      <w:rFonts w:eastAsia="Times New Roman"/>
      <w:szCs w:val="20"/>
    </w:rPr>
  </w:style>
  <w:style w:type="paragraph" w:styleId="Quote">
    <w:name w:val="Quote"/>
    <w:basedOn w:val="Normal"/>
    <w:next w:val="Normal"/>
    <w:uiPriority w:val="29"/>
    <w:qFormat/>
    <w:pPr>
      <w:ind w:left="720"/>
    </w:pPr>
    <w:rPr>
      <w:iCs/>
      <w:color w:val="000000"/>
    </w:rPr>
  </w:style>
  <w:style w:type="paragraph" w:styleId="NormalWeb">
    <w:name w:val="Normal (Web)"/>
    <w:basedOn w:val="Normal"/>
    <w:uiPriority w:val="99"/>
    <w:unhideWhenUsed/>
    <w:rsid w:val="0023020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9947D1"/>
    <w:rPr>
      <w:sz w:val="16"/>
      <w:szCs w:val="16"/>
    </w:rPr>
  </w:style>
  <w:style w:type="paragraph" w:styleId="CommentText">
    <w:name w:val="annotation text"/>
    <w:basedOn w:val="Normal"/>
    <w:link w:val="CommentTextChar"/>
    <w:uiPriority w:val="99"/>
    <w:semiHidden/>
    <w:unhideWhenUsed/>
    <w:rsid w:val="009947D1"/>
    <w:pPr>
      <w:spacing w:line="240" w:lineRule="auto"/>
    </w:pPr>
    <w:rPr>
      <w:sz w:val="20"/>
      <w:szCs w:val="20"/>
    </w:rPr>
  </w:style>
  <w:style w:type="character" w:customStyle="1" w:styleId="CommentTextChar">
    <w:name w:val="Comment Text Char"/>
    <w:basedOn w:val="DefaultParagraphFont"/>
    <w:link w:val="CommentText"/>
    <w:uiPriority w:val="99"/>
    <w:semiHidden/>
    <w:rsid w:val="009947D1"/>
    <w:rPr>
      <w:lang w:val="en-GB" w:eastAsia="en-US"/>
    </w:rPr>
  </w:style>
  <w:style w:type="paragraph" w:styleId="CommentSubject">
    <w:name w:val="annotation subject"/>
    <w:basedOn w:val="CommentText"/>
    <w:next w:val="CommentText"/>
    <w:link w:val="CommentSubjectChar"/>
    <w:uiPriority w:val="99"/>
    <w:semiHidden/>
    <w:unhideWhenUsed/>
    <w:rsid w:val="009947D1"/>
    <w:rPr>
      <w:b/>
      <w:bCs/>
    </w:rPr>
  </w:style>
  <w:style w:type="character" w:customStyle="1" w:styleId="CommentSubjectChar">
    <w:name w:val="Comment Subject Char"/>
    <w:basedOn w:val="CommentTextChar"/>
    <w:link w:val="CommentSubject"/>
    <w:uiPriority w:val="99"/>
    <w:semiHidden/>
    <w:rsid w:val="009947D1"/>
    <w:rPr>
      <w:b/>
      <w:bCs/>
      <w:lang w:val="en-GB" w:eastAsia="en-US"/>
    </w:rPr>
  </w:style>
  <w:style w:type="character" w:styleId="UnresolvedMention">
    <w:name w:val="Unresolved Mention"/>
    <w:basedOn w:val="DefaultParagraphFont"/>
    <w:uiPriority w:val="99"/>
    <w:semiHidden/>
    <w:unhideWhenUsed/>
    <w:rsid w:val="00EF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049">
      <w:bodyDiv w:val="1"/>
      <w:marLeft w:val="0"/>
      <w:marRight w:val="0"/>
      <w:marTop w:val="0"/>
      <w:marBottom w:val="0"/>
      <w:divBdr>
        <w:top w:val="none" w:sz="0" w:space="0" w:color="auto"/>
        <w:left w:val="none" w:sz="0" w:space="0" w:color="auto"/>
        <w:bottom w:val="none" w:sz="0" w:space="0" w:color="auto"/>
        <w:right w:val="none" w:sz="0" w:space="0" w:color="auto"/>
      </w:divBdr>
    </w:div>
    <w:div w:id="826747509">
      <w:bodyDiv w:val="1"/>
      <w:marLeft w:val="0"/>
      <w:marRight w:val="0"/>
      <w:marTop w:val="0"/>
      <w:marBottom w:val="0"/>
      <w:divBdr>
        <w:top w:val="none" w:sz="0" w:space="0" w:color="auto"/>
        <w:left w:val="none" w:sz="0" w:space="0" w:color="auto"/>
        <w:bottom w:val="none" w:sz="0" w:space="0" w:color="auto"/>
        <w:right w:val="none" w:sz="0" w:space="0" w:color="auto"/>
      </w:divBdr>
    </w:div>
    <w:div w:id="977144950">
      <w:bodyDiv w:val="1"/>
      <w:marLeft w:val="0"/>
      <w:marRight w:val="0"/>
      <w:marTop w:val="0"/>
      <w:marBottom w:val="0"/>
      <w:divBdr>
        <w:top w:val="none" w:sz="0" w:space="0" w:color="auto"/>
        <w:left w:val="none" w:sz="0" w:space="0" w:color="auto"/>
        <w:bottom w:val="none" w:sz="0" w:space="0" w:color="auto"/>
        <w:right w:val="none" w:sz="0" w:space="0" w:color="auto"/>
      </w:divBdr>
    </w:div>
    <w:div w:id="186686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ournal.upgris.ac.id/index.php/eternal/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lasafitri8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19AC9-CD64-4807-B6CC-0DBF4D0D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10858</Words>
  <Characters>61897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Northumrbia University</Company>
  <LinksUpToDate>false</LinksUpToDate>
  <CharactersWithSpaces>72610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IJLTER.ORG</dc:creator>
  <cp:keywords/>
  <dc:description/>
  <cp:lastModifiedBy>ibnu fatkhu</cp:lastModifiedBy>
  <cp:revision>5</cp:revision>
  <dcterms:created xsi:type="dcterms:W3CDTF">2024-02-13T16:09:00Z</dcterms:created>
  <dcterms:modified xsi:type="dcterms:W3CDTF">2024-02-15T09:10:00Z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8A4D77893A4647089F9EE587ED19DC20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http://www.zotero.org/styles/american-political-science-association</vt:lpwstr>
  </property>
  <property fmtid="{D5CDD505-2E9C-101B-9397-08002B2CF9AE}" pid="26" name="Mendeley Unique User Id_1">
    <vt:lpwstr>061425b4-2fed-39b6-81e2-ee6b9fe77798</vt:lpwstr>
  </property>
</Properties>
</file>